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7CFA6" w14:textId="0F479BDD" w:rsidR="000521B4" w:rsidRDefault="000521B4" w:rsidP="002A0A97">
      <w:pPr>
        <w:pStyle w:val="NormalWeb"/>
        <w:spacing w:before="0" w:beforeAutospacing="0" w:after="0" w:afterAutospacing="0"/>
        <w:rPr>
          <w:rFonts w:asciiTheme="minorHAnsi" w:hAnsiTheme="minorHAnsi" w:cstheme="minorHAnsi"/>
          <w:b/>
          <w:i/>
          <w:szCs w:val="22"/>
          <w:u w:val="single"/>
        </w:rPr>
      </w:pPr>
    </w:p>
    <w:p w14:paraId="49333883" w14:textId="77777777" w:rsidR="0066084B" w:rsidRDefault="0066084B" w:rsidP="00331713">
      <w:pPr>
        <w:pStyle w:val="NormalWeb"/>
        <w:spacing w:before="0" w:beforeAutospacing="0" w:after="0" w:afterAutospacing="0"/>
        <w:jc w:val="center"/>
        <w:rPr>
          <w:rFonts w:asciiTheme="minorHAnsi" w:hAnsiTheme="minorHAnsi" w:cstheme="minorHAnsi"/>
          <w:b/>
          <w:i/>
          <w:szCs w:val="22"/>
          <w:u w:val="single"/>
        </w:rPr>
      </w:pPr>
    </w:p>
    <w:p w14:paraId="07D4CB86" w14:textId="14E27CC4" w:rsidR="00F924D5" w:rsidRDefault="009921A8" w:rsidP="00331713">
      <w:pPr>
        <w:pStyle w:val="NormalWeb"/>
        <w:spacing w:before="0" w:beforeAutospacing="0" w:after="0" w:afterAutospacing="0"/>
        <w:jc w:val="center"/>
        <w:rPr>
          <w:rFonts w:asciiTheme="minorHAnsi" w:hAnsiTheme="minorHAnsi" w:cstheme="minorHAnsi"/>
          <w:b/>
          <w:i/>
          <w:szCs w:val="22"/>
          <w:u w:val="single"/>
        </w:rPr>
      </w:pPr>
      <w:r>
        <w:rPr>
          <w:rFonts w:asciiTheme="minorHAnsi" w:hAnsiTheme="minorHAnsi" w:cstheme="minorHAnsi"/>
          <w:b/>
          <w:i/>
          <w:szCs w:val="22"/>
          <w:u w:val="single"/>
        </w:rPr>
        <w:t>Expedited Designation</w:t>
      </w:r>
      <w:r w:rsidR="00BC2F03" w:rsidRPr="00331713">
        <w:rPr>
          <w:rFonts w:asciiTheme="minorHAnsi" w:hAnsiTheme="minorHAnsi" w:cstheme="minorHAnsi"/>
          <w:b/>
          <w:i/>
          <w:szCs w:val="22"/>
          <w:u w:val="single"/>
        </w:rPr>
        <w:t xml:space="preserve"> FAQ</w:t>
      </w:r>
    </w:p>
    <w:p w14:paraId="17A0B322" w14:textId="77777777" w:rsidR="00331713" w:rsidRPr="00331713" w:rsidRDefault="00331713" w:rsidP="00331713">
      <w:pPr>
        <w:pStyle w:val="NormalWeb"/>
        <w:spacing w:before="0" w:beforeAutospacing="0" w:after="0" w:afterAutospacing="0"/>
        <w:jc w:val="center"/>
        <w:rPr>
          <w:rFonts w:asciiTheme="minorHAnsi" w:hAnsiTheme="minorHAnsi" w:cstheme="minorHAnsi"/>
          <w:b/>
          <w:i/>
          <w:szCs w:val="22"/>
          <w:u w:val="single"/>
        </w:rPr>
      </w:pPr>
    </w:p>
    <w:p w14:paraId="1AE05492" w14:textId="36C8381B" w:rsidR="009921A8" w:rsidRPr="008314B5" w:rsidRDefault="009921A8" w:rsidP="009921A8">
      <w:pPr>
        <w:spacing w:after="120" w:line="240" w:lineRule="auto"/>
        <w:jc w:val="both"/>
        <w:textAlignment w:val="center"/>
        <w:rPr>
          <w:rFonts w:ascii="Calibri" w:eastAsia="Times New Roman" w:hAnsi="Calibri" w:cs="Times New Roman"/>
          <w:b/>
          <w:bCs/>
          <w:color w:val="000000" w:themeColor="text1"/>
        </w:rPr>
      </w:pPr>
      <w:r w:rsidRPr="008314B5">
        <w:rPr>
          <w:rFonts w:ascii="Calibri" w:eastAsia="Times New Roman" w:hAnsi="Calibri" w:cs="Times New Roman"/>
          <w:b/>
          <w:bCs/>
          <w:color w:val="000000" w:themeColor="text1"/>
        </w:rPr>
        <w:t>Q: What is the purpose of the Expedited Designation process?</w:t>
      </w:r>
    </w:p>
    <w:p w14:paraId="11AF163F" w14:textId="3279E0B3" w:rsidR="0059296B" w:rsidRDefault="009921A8" w:rsidP="009921A8">
      <w:pPr>
        <w:spacing w:after="120" w:line="240" w:lineRule="auto"/>
        <w:jc w:val="both"/>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A:</w:t>
      </w:r>
      <w:r w:rsidR="0084206C">
        <w:rPr>
          <w:rFonts w:ascii="Calibri" w:eastAsia="Times New Roman" w:hAnsi="Calibri" w:cs="Times New Roman"/>
          <w:color w:val="000000" w:themeColor="text1"/>
        </w:rPr>
        <w:t xml:space="preserve"> </w:t>
      </w:r>
      <w:r w:rsidR="008314B5">
        <w:rPr>
          <w:rFonts w:ascii="Calibri" w:eastAsia="Times New Roman" w:hAnsi="Calibri" w:cs="Times New Roman"/>
          <w:color w:val="000000" w:themeColor="text1"/>
        </w:rPr>
        <w:t xml:space="preserve">The Expedited Designation process provides an alternative to the Aggregate Transmission Service Study (ATSS) process for requests to receive long-term transmission service if certain requirements are met.  </w:t>
      </w:r>
      <w:r w:rsidR="0059296B">
        <w:rPr>
          <w:rFonts w:ascii="Calibri" w:eastAsia="Times New Roman" w:hAnsi="Calibri" w:cs="Times New Roman"/>
          <w:color w:val="000000" w:themeColor="text1"/>
        </w:rPr>
        <w:t xml:space="preserve">As the GI study process </w:t>
      </w:r>
      <w:r w:rsidR="008314B5">
        <w:rPr>
          <w:rFonts w:ascii="Calibri" w:eastAsia="Times New Roman" w:hAnsi="Calibri" w:cs="Times New Roman"/>
          <w:color w:val="000000" w:themeColor="text1"/>
        </w:rPr>
        <w:t>now evaluates</w:t>
      </w:r>
      <w:r w:rsidR="0059296B">
        <w:rPr>
          <w:rFonts w:ascii="Calibri" w:eastAsia="Times New Roman" w:hAnsi="Calibri" w:cs="Times New Roman"/>
          <w:color w:val="000000" w:themeColor="text1"/>
        </w:rPr>
        <w:t xml:space="preserve"> deliverability and any associated upgrades for NRIS+ requests, resources that have NRIS+ are not subject to additional upgrades for transmission service if certain requirements are met.  </w:t>
      </w:r>
      <w:r w:rsidR="008314B5">
        <w:rPr>
          <w:rFonts w:ascii="Calibri" w:eastAsia="Times New Roman" w:hAnsi="Calibri" w:cs="Times New Roman"/>
          <w:color w:val="000000" w:themeColor="text1"/>
        </w:rPr>
        <w:t>The Expedited Designation process allows Network Customers to quickly add new resources to their fleet of network resources without additional upgrade requirements.</w:t>
      </w:r>
    </w:p>
    <w:p w14:paraId="442C46AF" w14:textId="77777777" w:rsidR="00646840" w:rsidRDefault="00646840" w:rsidP="009921A8">
      <w:pPr>
        <w:spacing w:after="120" w:line="240" w:lineRule="auto"/>
        <w:jc w:val="both"/>
        <w:textAlignment w:val="center"/>
        <w:rPr>
          <w:rFonts w:ascii="Calibri" w:eastAsia="Times New Roman" w:hAnsi="Calibri" w:cs="Times New Roman"/>
          <w:color w:val="000000" w:themeColor="text1"/>
        </w:rPr>
      </w:pPr>
    </w:p>
    <w:p w14:paraId="270C5196" w14:textId="1185648D" w:rsidR="00646840" w:rsidRDefault="00646840" w:rsidP="009921A8">
      <w:pPr>
        <w:spacing w:after="120" w:line="240" w:lineRule="auto"/>
        <w:jc w:val="both"/>
        <w:textAlignment w:val="center"/>
        <w:rPr>
          <w:rFonts w:ascii="Calibri" w:eastAsia="Times New Roman" w:hAnsi="Calibri" w:cs="Times New Roman"/>
          <w:b/>
          <w:bCs/>
          <w:color w:val="000000" w:themeColor="text1"/>
        </w:rPr>
      </w:pPr>
      <w:r w:rsidRPr="00646840">
        <w:rPr>
          <w:rFonts w:ascii="Calibri" w:eastAsia="Times New Roman" w:hAnsi="Calibri" w:cs="Times New Roman"/>
          <w:b/>
          <w:bCs/>
          <w:color w:val="000000" w:themeColor="text1"/>
        </w:rPr>
        <w:t>Q: W</w:t>
      </w:r>
      <w:r>
        <w:rPr>
          <w:rFonts w:ascii="Calibri" w:eastAsia="Times New Roman" w:hAnsi="Calibri" w:cs="Times New Roman"/>
          <w:b/>
          <w:bCs/>
          <w:color w:val="000000" w:themeColor="text1"/>
        </w:rPr>
        <w:t>hat makes a resource eligible for the Expedited Designation process?</w:t>
      </w:r>
    </w:p>
    <w:p w14:paraId="63D421E3" w14:textId="5C24F48E" w:rsidR="00646840" w:rsidRDefault="00646840" w:rsidP="009921A8">
      <w:pPr>
        <w:spacing w:after="120" w:line="240" w:lineRule="auto"/>
        <w:jc w:val="both"/>
        <w:textAlignment w:val="center"/>
        <w:rPr>
          <w:rFonts w:ascii="Calibri" w:eastAsia="Times New Roman" w:hAnsi="Calibri" w:cs="Times New Roman"/>
          <w:color w:val="000000" w:themeColor="text1"/>
        </w:rPr>
      </w:pPr>
      <w:r w:rsidRPr="00646840">
        <w:rPr>
          <w:rFonts w:ascii="Calibri" w:eastAsia="Times New Roman" w:hAnsi="Calibri" w:cs="Times New Roman"/>
          <w:color w:val="000000" w:themeColor="text1"/>
        </w:rPr>
        <w:t xml:space="preserve">A: Any </w:t>
      </w:r>
      <w:r>
        <w:rPr>
          <w:rFonts w:ascii="Calibri" w:eastAsia="Times New Roman" w:hAnsi="Calibri" w:cs="Times New Roman"/>
          <w:color w:val="000000" w:themeColor="text1"/>
        </w:rPr>
        <w:t>request in which the source has NRIS+ service and will be serving Network load in the same Deliverability Area is eligible for the Expedited Designation process.</w:t>
      </w:r>
    </w:p>
    <w:p w14:paraId="490F8AD9" w14:textId="29880FD5" w:rsidR="00646840" w:rsidRPr="00646840" w:rsidRDefault="00646840" w:rsidP="009921A8">
      <w:pPr>
        <w:spacing w:after="120" w:line="240" w:lineRule="auto"/>
        <w:jc w:val="both"/>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 xml:space="preserve"> </w:t>
      </w:r>
    </w:p>
    <w:p w14:paraId="33C5137F" w14:textId="1CF338CD" w:rsidR="009921A8" w:rsidRPr="00B5142F" w:rsidRDefault="009921A8" w:rsidP="009921A8">
      <w:pPr>
        <w:spacing w:after="120" w:line="240" w:lineRule="auto"/>
        <w:jc w:val="both"/>
        <w:textAlignment w:val="center"/>
        <w:rPr>
          <w:rFonts w:ascii="Calibri" w:eastAsia="Times New Roman" w:hAnsi="Calibri" w:cs="Times New Roman"/>
          <w:b/>
          <w:bCs/>
          <w:color w:val="000000" w:themeColor="text1"/>
        </w:rPr>
      </w:pPr>
      <w:r w:rsidRPr="00B5142F">
        <w:rPr>
          <w:rFonts w:ascii="Calibri" w:eastAsia="Times New Roman" w:hAnsi="Calibri" w:cs="Times New Roman"/>
          <w:b/>
          <w:bCs/>
          <w:color w:val="000000" w:themeColor="text1"/>
        </w:rPr>
        <w:t xml:space="preserve">Q: What is required to initiate </w:t>
      </w:r>
      <w:r w:rsidR="00966F9C">
        <w:rPr>
          <w:rFonts w:ascii="Calibri" w:eastAsia="Times New Roman" w:hAnsi="Calibri" w:cs="Times New Roman"/>
          <w:b/>
          <w:bCs/>
          <w:color w:val="000000" w:themeColor="text1"/>
        </w:rPr>
        <w:t>an</w:t>
      </w:r>
      <w:r w:rsidRPr="00B5142F">
        <w:rPr>
          <w:rFonts w:ascii="Calibri" w:eastAsia="Times New Roman" w:hAnsi="Calibri" w:cs="Times New Roman"/>
          <w:b/>
          <w:bCs/>
          <w:color w:val="000000" w:themeColor="text1"/>
        </w:rPr>
        <w:t xml:space="preserve"> Expedited Designation </w:t>
      </w:r>
      <w:r w:rsidR="00966F9C">
        <w:rPr>
          <w:rFonts w:ascii="Calibri" w:eastAsia="Times New Roman" w:hAnsi="Calibri" w:cs="Times New Roman"/>
          <w:b/>
          <w:bCs/>
          <w:color w:val="000000" w:themeColor="text1"/>
        </w:rPr>
        <w:t>study</w:t>
      </w:r>
      <w:r w:rsidRPr="00B5142F">
        <w:rPr>
          <w:rFonts w:ascii="Calibri" w:eastAsia="Times New Roman" w:hAnsi="Calibri" w:cs="Times New Roman"/>
          <w:b/>
          <w:bCs/>
          <w:color w:val="000000" w:themeColor="text1"/>
        </w:rPr>
        <w:t>?</w:t>
      </w:r>
    </w:p>
    <w:p w14:paraId="47638F74" w14:textId="47E0634A" w:rsidR="009921A8" w:rsidRDefault="009921A8" w:rsidP="009921A8">
      <w:pPr>
        <w:spacing w:after="120" w:line="240" w:lineRule="auto"/>
        <w:jc w:val="both"/>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A:</w:t>
      </w:r>
      <w:r w:rsidR="00B27C02">
        <w:rPr>
          <w:rFonts w:ascii="Calibri" w:eastAsia="Times New Roman" w:hAnsi="Calibri" w:cs="Times New Roman"/>
          <w:color w:val="000000" w:themeColor="text1"/>
        </w:rPr>
        <w:t xml:space="preserve"> </w:t>
      </w:r>
      <w:r w:rsidR="009D2E21">
        <w:rPr>
          <w:rFonts w:ascii="Calibri" w:eastAsia="Times New Roman" w:hAnsi="Calibri" w:cs="Times New Roman"/>
          <w:color w:val="000000" w:themeColor="text1"/>
        </w:rPr>
        <w:t>There must be Network Resource Deliverability for the resource, which requires obtaining NRIS+ service.  The customer must submit an Expedited Designation Study Agreement, a NITS Application, and a valid OASIS request (ADDNITSDNR)</w:t>
      </w:r>
      <w:r w:rsidR="00B5142F">
        <w:rPr>
          <w:rFonts w:ascii="Calibri" w:eastAsia="Times New Roman" w:hAnsi="Calibri" w:cs="Times New Roman"/>
          <w:color w:val="000000" w:themeColor="text1"/>
        </w:rPr>
        <w:t xml:space="preserve"> to </w:t>
      </w:r>
      <w:hyperlink r:id="rId7" w:history="1">
        <w:r w:rsidR="00B5142F" w:rsidRPr="00546E07">
          <w:rPr>
            <w:rStyle w:val="Hyperlink"/>
            <w:rFonts w:ascii="Calibri" w:eastAsia="Times New Roman" w:hAnsi="Calibri" w:cs="Times New Roman"/>
          </w:rPr>
          <w:t>TS@spp.org</w:t>
        </w:r>
      </w:hyperlink>
      <w:r w:rsidR="00B5142F">
        <w:rPr>
          <w:rFonts w:ascii="Calibri" w:eastAsia="Times New Roman" w:hAnsi="Calibri" w:cs="Times New Roman"/>
          <w:color w:val="000000" w:themeColor="text1"/>
        </w:rPr>
        <w:t>.</w:t>
      </w:r>
      <w:r w:rsidR="009D2E21">
        <w:rPr>
          <w:rFonts w:ascii="Calibri" w:eastAsia="Times New Roman" w:hAnsi="Calibri" w:cs="Times New Roman"/>
          <w:color w:val="000000" w:themeColor="text1"/>
        </w:rPr>
        <w:t xml:space="preserve">  The resource must be in the same Deliverability Area as some or all of the customer’s load.  The MW in the OASIS request cannot exceed the Network Resource Deliverability of the resource.  If some of the customer’s load is in a different Deliverability Area than the resource, the MW in the OASIS request cannot exceed a pro-rated amount of the Network Resource Deliverability as described in Tariff Section 30.2.2.</w:t>
      </w:r>
    </w:p>
    <w:p w14:paraId="49C1E213" w14:textId="5171AE0D" w:rsidR="006A56C8" w:rsidRDefault="006A56C8" w:rsidP="009921A8">
      <w:pPr>
        <w:spacing w:after="120" w:line="240" w:lineRule="auto"/>
        <w:jc w:val="both"/>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 xml:space="preserve">The Expedited Designation Study Agreement and NITS Application can be found on the </w:t>
      </w:r>
      <w:hyperlink r:id="rId8" w:history="1">
        <w:r w:rsidRPr="006A56C8">
          <w:rPr>
            <w:rStyle w:val="Hyperlink"/>
            <w:rFonts w:ascii="Calibri" w:eastAsia="Times New Roman" w:hAnsi="Calibri" w:cs="Times New Roman"/>
          </w:rPr>
          <w:t>Transmission Service studies posting page.</w:t>
        </w:r>
      </w:hyperlink>
    </w:p>
    <w:p w14:paraId="29E8BA78" w14:textId="77777777" w:rsidR="009921A8" w:rsidRDefault="009921A8" w:rsidP="009921A8">
      <w:pPr>
        <w:spacing w:after="120" w:line="240" w:lineRule="auto"/>
        <w:jc w:val="both"/>
        <w:textAlignment w:val="center"/>
        <w:rPr>
          <w:rFonts w:ascii="Calibri" w:eastAsia="Times New Roman" w:hAnsi="Calibri" w:cs="Times New Roman"/>
          <w:color w:val="000000" w:themeColor="text1"/>
        </w:rPr>
      </w:pPr>
    </w:p>
    <w:p w14:paraId="1DC7888E" w14:textId="77777777" w:rsidR="00110348" w:rsidRPr="008314B5" w:rsidRDefault="00110348" w:rsidP="00110348">
      <w:pPr>
        <w:spacing w:after="120" w:line="240" w:lineRule="auto"/>
        <w:jc w:val="both"/>
        <w:textAlignment w:val="center"/>
        <w:rPr>
          <w:rFonts w:ascii="Calibri" w:eastAsia="Times New Roman" w:hAnsi="Calibri" w:cs="Times New Roman"/>
          <w:b/>
          <w:bCs/>
          <w:color w:val="000000" w:themeColor="text1"/>
        </w:rPr>
      </w:pPr>
      <w:r w:rsidRPr="008314B5">
        <w:rPr>
          <w:rFonts w:ascii="Calibri" w:eastAsia="Times New Roman" w:hAnsi="Calibri" w:cs="Times New Roman"/>
          <w:b/>
          <w:bCs/>
          <w:color w:val="000000" w:themeColor="text1"/>
        </w:rPr>
        <w:t>Q: How long does the Expedited Designation study process take?</w:t>
      </w:r>
    </w:p>
    <w:p w14:paraId="0ACE817C" w14:textId="77777777" w:rsidR="00110348" w:rsidRDefault="00110348" w:rsidP="00110348">
      <w:pPr>
        <w:spacing w:after="120" w:line="240" w:lineRule="auto"/>
        <w:jc w:val="both"/>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A: The process takes approximately 90 Calendar Days; this includes 60 Calendar Days for the study and 30 Calendar Days for updating the NITS Agreement.  Per Tariff Section 30.2.2, the Application must be submitted at least 90 days prior to the start date of the OASIS request.</w:t>
      </w:r>
    </w:p>
    <w:p w14:paraId="6FA81200" w14:textId="77777777" w:rsidR="00110348" w:rsidRDefault="00110348" w:rsidP="009921A8">
      <w:pPr>
        <w:spacing w:after="120" w:line="240" w:lineRule="auto"/>
        <w:jc w:val="both"/>
        <w:textAlignment w:val="center"/>
        <w:rPr>
          <w:rFonts w:ascii="Calibri" w:eastAsia="Times New Roman" w:hAnsi="Calibri" w:cs="Times New Roman"/>
          <w:color w:val="000000" w:themeColor="text1"/>
        </w:rPr>
      </w:pPr>
    </w:p>
    <w:p w14:paraId="6F6A5639" w14:textId="1A0D7F54" w:rsidR="00A331FA" w:rsidRPr="00A331FA" w:rsidRDefault="00A331FA" w:rsidP="00A331FA">
      <w:pPr>
        <w:spacing w:after="120" w:line="240" w:lineRule="auto"/>
        <w:jc w:val="both"/>
        <w:textAlignment w:val="center"/>
        <w:rPr>
          <w:rFonts w:ascii="Calibri" w:eastAsia="Times New Roman" w:hAnsi="Calibri" w:cs="Times New Roman"/>
          <w:b/>
          <w:bCs/>
          <w:color w:val="000000" w:themeColor="text1"/>
        </w:rPr>
      </w:pPr>
      <w:r w:rsidRPr="00A331FA">
        <w:rPr>
          <w:rFonts w:ascii="Calibri" w:eastAsia="Times New Roman" w:hAnsi="Calibri" w:cs="Times New Roman"/>
          <w:b/>
          <w:bCs/>
          <w:color w:val="000000" w:themeColor="text1"/>
        </w:rPr>
        <w:t xml:space="preserve">Q: Is a deposit required for </w:t>
      </w:r>
      <w:r>
        <w:rPr>
          <w:rFonts w:ascii="Calibri" w:eastAsia="Times New Roman" w:hAnsi="Calibri" w:cs="Times New Roman"/>
          <w:b/>
          <w:bCs/>
          <w:color w:val="000000" w:themeColor="text1"/>
        </w:rPr>
        <w:t>an Expedited Designation request</w:t>
      </w:r>
      <w:r w:rsidRPr="00A331FA">
        <w:rPr>
          <w:rFonts w:ascii="Calibri" w:eastAsia="Times New Roman" w:hAnsi="Calibri" w:cs="Times New Roman"/>
          <w:b/>
          <w:bCs/>
          <w:color w:val="000000" w:themeColor="text1"/>
        </w:rPr>
        <w:t>?</w:t>
      </w:r>
    </w:p>
    <w:p w14:paraId="53E396F6" w14:textId="4505FAF5" w:rsidR="00A331FA" w:rsidRDefault="00A331FA" w:rsidP="00A331FA">
      <w:pPr>
        <w:spacing w:after="120" w:line="240" w:lineRule="auto"/>
        <w:jc w:val="both"/>
        <w:textAlignment w:val="center"/>
        <w:rPr>
          <w:rFonts w:ascii="Calibri" w:eastAsia="Times New Roman" w:hAnsi="Calibri" w:cs="Times New Roman"/>
          <w:color w:val="000000" w:themeColor="text1"/>
        </w:rPr>
      </w:pPr>
      <w:r w:rsidRPr="00A331FA">
        <w:rPr>
          <w:rFonts w:ascii="Calibri" w:eastAsia="Times New Roman" w:hAnsi="Calibri" w:cs="Times New Roman"/>
          <w:color w:val="000000" w:themeColor="text1"/>
        </w:rPr>
        <w:t xml:space="preserve">A: No deposit is required for </w:t>
      </w:r>
      <w:r>
        <w:rPr>
          <w:rFonts w:ascii="Calibri" w:eastAsia="Times New Roman" w:hAnsi="Calibri" w:cs="Times New Roman"/>
          <w:color w:val="000000" w:themeColor="text1"/>
        </w:rPr>
        <w:t>an Expedited Designation study</w:t>
      </w:r>
      <w:r w:rsidRPr="00A331FA">
        <w:rPr>
          <w:rFonts w:ascii="Calibri" w:eastAsia="Times New Roman" w:hAnsi="Calibri" w:cs="Times New Roman"/>
          <w:color w:val="000000" w:themeColor="text1"/>
        </w:rPr>
        <w:t xml:space="preserve">. The </w:t>
      </w:r>
      <w:r w:rsidR="00966F9C">
        <w:rPr>
          <w:rFonts w:ascii="Calibri" w:eastAsia="Times New Roman" w:hAnsi="Calibri" w:cs="Times New Roman"/>
          <w:color w:val="000000" w:themeColor="text1"/>
        </w:rPr>
        <w:t>customer</w:t>
      </w:r>
      <w:r w:rsidRPr="00A331FA">
        <w:rPr>
          <w:rFonts w:ascii="Calibri" w:eastAsia="Times New Roman" w:hAnsi="Calibri" w:cs="Times New Roman"/>
          <w:color w:val="000000" w:themeColor="text1"/>
        </w:rPr>
        <w:t xml:space="preserve"> will be billed for study costs at the conclusion of the study.</w:t>
      </w:r>
    </w:p>
    <w:p w14:paraId="2BF09617" w14:textId="77777777" w:rsidR="00A331FA" w:rsidRDefault="00A331FA" w:rsidP="009921A8">
      <w:pPr>
        <w:spacing w:after="120" w:line="240" w:lineRule="auto"/>
        <w:jc w:val="both"/>
        <w:textAlignment w:val="center"/>
        <w:rPr>
          <w:rFonts w:ascii="Calibri" w:eastAsia="Times New Roman" w:hAnsi="Calibri" w:cs="Times New Roman"/>
          <w:color w:val="000000" w:themeColor="text1"/>
        </w:rPr>
      </w:pPr>
    </w:p>
    <w:p w14:paraId="037A32DC" w14:textId="5E9C99FB" w:rsidR="009921A8" w:rsidRPr="00B5142F" w:rsidRDefault="009921A8" w:rsidP="009921A8">
      <w:pPr>
        <w:spacing w:after="120" w:line="240" w:lineRule="auto"/>
        <w:jc w:val="both"/>
        <w:textAlignment w:val="center"/>
        <w:rPr>
          <w:rFonts w:ascii="Calibri" w:eastAsia="Times New Roman" w:hAnsi="Calibri" w:cs="Times New Roman"/>
          <w:b/>
          <w:bCs/>
          <w:color w:val="000000" w:themeColor="text1"/>
        </w:rPr>
      </w:pPr>
      <w:r w:rsidRPr="00B5142F">
        <w:rPr>
          <w:rFonts w:ascii="Calibri" w:eastAsia="Times New Roman" w:hAnsi="Calibri" w:cs="Times New Roman"/>
          <w:b/>
          <w:bCs/>
          <w:color w:val="000000" w:themeColor="text1"/>
        </w:rPr>
        <w:t>Q: What are the Deliverability Area definitions?</w:t>
      </w:r>
    </w:p>
    <w:p w14:paraId="0A06D08D" w14:textId="6D16F37F" w:rsidR="009921A8" w:rsidRDefault="009921A8" w:rsidP="00B5142F">
      <w:pPr>
        <w:spacing w:after="0" w:line="240" w:lineRule="auto"/>
        <w:jc w:val="both"/>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 xml:space="preserve">A: </w:t>
      </w:r>
      <w:r w:rsidR="00B5142F">
        <w:rPr>
          <w:rFonts w:ascii="Calibri" w:eastAsia="Times New Roman" w:hAnsi="Calibri" w:cs="Times New Roman"/>
          <w:color w:val="000000" w:themeColor="text1"/>
        </w:rPr>
        <w:t>Deliverability Areas consist of the Transmission Owners’ facilities located in the following Tariff Attachment H Zones as documented in Business Practice 7250:</w:t>
      </w:r>
    </w:p>
    <w:p w14:paraId="2A2E3BF8" w14:textId="77777777" w:rsidR="00B5142F" w:rsidRDefault="00B5142F" w:rsidP="00B5142F">
      <w:pPr>
        <w:spacing w:after="0" w:line="240" w:lineRule="auto"/>
        <w:jc w:val="both"/>
        <w:textAlignment w:val="center"/>
        <w:rPr>
          <w:rFonts w:ascii="Calibri" w:eastAsia="Times New Roman" w:hAnsi="Calibri" w:cs="Times New Roman"/>
          <w:color w:val="000000" w:themeColor="text1"/>
        </w:rPr>
      </w:pPr>
    </w:p>
    <w:p w14:paraId="1C4C30CE" w14:textId="77777777" w:rsidR="00B5142F" w:rsidRPr="00B5142F" w:rsidRDefault="00B5142F" w:rsidP="00B5142F">
      <w:pPr>
        <w:spacing w:after="0" w:line="240" w:lineRule="auto"/>
        <w:jc w:val="both"/>
        <w:textAlignment w:val="center"/>
        <w:rPr>
          <w:rFonts w:ascii="Calibri" w:eastAsia="Times New Roman" w:hAnsi="Calibri" w:cs="Times New Roman"/>
          <w:color w:val="000000" w:themeColor="text1"/>
          <w:u w:val="single"/>
        </w:rPr>
      </w:pPr>
      <w:r w:rsidRPr="00B5142F">
        <w:rPr>
          <w:rFonts w:ascii="Calibri" w:eastAsia="Times New Roman" w:hAnsi="Calibri" w:cs="Times New Roman"/>
          <w:color w:val="000000" w:themeColor="text1"/>
          <w:u w:val="single"/>
        </w:rPr>
        <w:t>South Deliverability Area</w:t>
      </w:r>
    </w:p>
    <w:p w14:paraId="31F91C17" w14:textId="77777777" w:rsidR="00B5142F" w:rsidRPr="00B5142F" w:rsidRDefault="00B5142F" w:rsidP="00B5142F">
      <w:pPr>
        <w:spacing w:after="0" w:line="240" w:lineRule="auto"/>
        <w:jc w:val="both"/>
        <w:textAlignment w:val="center"/>
        <w:rPr>
          <w:rFonts w:ascii="Calibri" w:eastAsia="Times New Roman" w:hAnsi="Calibri" w:cs="Times New Roman"/>
          <w:color w:val="000000" w:themeColor="text1"/>
        </w:rPr>
      </w:pPr>
      <w:r w:rsidRPr="00B5142F">
        <w:rPr>
          <w:rFonts w:ascii="Calibri" w:eastAsia="Times New Roman" w:hAnsi="Calibri" w:cs="Times New Roman"/>
          <w:color w:val="000000" w:themeColor="text1"/>
        </w:rPr>
        <w:t>#1 American Electric Power – West</w:t>
      </w:r>
    </w:p>
    <w:p w14:paraId="3CB75C3F" w14:textId="77777777" w:rsidR="00B5142F" w:rsidRPr="00B5142F" w:rsidRDefault="00B5142F" w:rsidP="00B5142F">
      <w:pPr>
        <w:spacing w:after="0" w:line="240" w:lineRule="auto"/>
        <w:jc w:val="both"/>
        <w:textAlignment w:val="center"/>
        <w:rPr>
          <w:rFonts w:ascii="Calibri" w:eastAsia="Times New Roman" w:hAnsi="Calibri" w:cs="Times New Roman"/>
          <w:color w:val="000000" w:themeColor="text1"/>
        </w:rPr>
      </w:pPr>
      <w:r w:rsidRPr="00B5142F">
        <w:rPr>
          <w:rFonts w:ascii="Calibri" w:eastAsia="Times New Roman" w:hAnsi="Calibri" w:cs="Times New Roman"/>
          <w:color w:val="000000" w:themeColor="text1"/>
        </w:rPr>
        <w:t>#5 Grand River Dam Authority</w:t>
      </w:r>
    </w:p>
    <w:p w14:paraId="615AB813" w14:textId="77777777" w:rsidR="00B5142F" w:rsidRPr="00B5142F" w:rsidRDefault="00B5142F" w:rsidP="00B5142F">
      <w:pPr>
        <w:spacing w:after="0" w:line="240" w:lineRule="auto"/>
        <w:jc w:val="both"/>
        <w:textAlignment w:val="center"/>
        <w:rPr>
          <w:rFonts w:ascii="Calibri" w:eastAsia="Times New Roman" w:hAnsi="Calibri" w:cs="Times New Roman"/>
          <w:color w:val="000000" w:themeColor="text1"/>
        </w:rPr>
      </w:pPr>
      <w:r w:rsidRPr="00B5142F">
        <w:rPr>
          <w:rFonts w:ascii="Calibri" w:eastAsia="Times New Roman" w:hAnsi="Calibri" w:cs="Times New Roman"/>
          <w:color w:val="000000" w:themeColor="text1"/>
        </w:rPr>
        <w:t>#7 Oklahoma Gas and Electric</w:t>
      </w:r>
    </w:p>
    <w:p w14:paraId="70548CE9" w14:textId="77777777" w:rsidR="00B5142F" w:rsidRPr="00B5142F" w:rsidRDefault="00B5142F" w:rsidP="00B5142F">
      <w:pPr>
        <w:spacing w:after="0" w:line="240" w:lineRule="auto"/>
        <w:jc w:val="both"/>
        <w:textAlignment w:val="center"/>
        <w:rPr>
          <w:rFonts w:ascii="Calibri" w:eastAsia="Times New Roman" w:hAnsi="Calibri" w:cs="Times New Roman"/>
          <w:color w:val="000000" w:themeColor="text1"/>
        </w:rPr>
      </w:pPr>
      <w:r w:rsidRPr="00B5142F">
        <w:rPr>
          <w:rFonts w:ascii="Calibri" w:eastAsia="Times New Roman" w:hAnsi="Calibri" w:cs="Times New Roman"/>
          <w:color w:val="000000" w:themeColor="text1"/>
        </w:rPr>
        <w:lastRenderedPageBreak/>
        <w:t>#10 Southwestern Power Administration</w:t>
      </w:r>
    </w:p>
    <w:p w14:paraId="76AEC8F1" w14:textId="77777777" w:rsidR="00B5142F" w:rsidRPr="00B5142F" w:rsidRDefault="00B5142F" w:rsidP="00B5142F">
      <w:pPr>
        <w:spacing w:after="0" w:line="240" w:lineRule="auto"/>
        <w:jc w:val="both"/>
        <w:textAlignment w:val="center"/>
        <w:rPr>
          <w:rFonts w:ascii="Calibri" w:eastAsia="Times New Roman" w:hAnsi="Calibri" w:cs="Times New Roman"/>
          <w:color w:val="000000" w:themeColor="text1"/>
        </w:rPr>
      </w:pPr>
      <w:r w:rsidRPr="00B5142F">
        <w:rPr>
          <w:rFonts w:ascii="Calibri" w:eastAsia="Times New Roman" w:hAnsi="Calibri" w:cs="Times New Roman"/>
          <w:color w:val="000000" w:themeColor="text1"/>
        </w:rPr>
        <w:t>#11 Southwestern Public Service Company</w:t>
      </w:r>
    </w:p>
    <w:p w14:paraId="2A5FC0F6" w14:textId="77777777" w:rsidR="00B5142F" w:rsidRPr="00B5142F" w:rsidRDefault="00B5142F" w:rsidP="00B5142F">
      <w:pPr>
        <w:spacing w:after="0" w:line="240" w:lineRule="auto"/>
        <w:jc w:val="both"/>
        <w:textAlignment w:val="center"/>
        <w:rPr>
          <w:rFonts w:ascii="Calibri" w:eastAsia="Times New Roman" w:hAnsi="Calibri" w:cs="Times New Roman"/>
          <w:color w:val="000000" w:themeColor="text1"/>
        </w:rPr>
      </w:pPr>
      <w:r w:rsidRPr="00B5142F">
        <w:rPr>
          <w:rFonts w:ascii="Calibri" w:eastAsia="Times New Roman" w:hAnsi="Calibri" w:cs="Times New Roman"/>
          <w:color w:val="000000" w:themeColor="text1"/>
        </w:rPr>
        <w:t>#13 Western Farmers Electric Cooperative</w:t>
      </w:r>
    </w:p>
    <w:p w14:paraId="367A5723" w14:textId="77777777" w:rsidR="00B5142F" w:rsidRPr="00B5142F" w:rsidRDefault="00B5142F" w:rsidP="00B5142F">
      <w:pPr>
        <w:spacing w:after="0" w:line="240" w:lineRule="auto"/>
        <w:jc w:val="both"/>
        <w:textAlignment w:val="center"/>
        <w:rPr>
          <w:rFonts w:ascii="Calibri" w:eastAsia="Times New Roman" w:hAnsi="Calibri" w:cs="Times New Roman"/>
          <w:color w:val="000000" w:themeColor="text1"/>
        </w:rPr>
      </w:pPr>
    </w:p>
    <w:p w14:paraId="0E6DB548" w14:textId="77777777" w:rsidR="00B5142F" w:rsidRPr="00B5142F" w:rsidRDefault="00B5142F" w:rsidP="00B5142F">
      <w:pPr>
        <w:spacing w:after="0" w:line="240" w:lineRule="auto"/>
        <w:jc w:val="both"/>
        <w:textAlignment w:val="center"/>
        <w:rPr>
          <w:rFonts w:ascii="Calibri" w:eastAsia="Times New Roman" w:hAnsi="Calibri" w:cs="Times New Roman"/>
          <w:color w:val="000000" w:themeColor="text1"/>
          <w:u w:val="single"/>
        </w:rPr>
      </w:pPr>
      <w:r w:rsidRPr="00B5142F">
        <w:rPr>
          <w:rFonts w:ascii="Calibri" w:eastAsia="Times New Roman" w:hAnsi="Calibri" w:cs="Times New Roman"/>
          <w:color w:val="000000" w:themeColor="text1"/>
          <w:u w:val="single"/>
        </w:rPr>
        <w:t>Central Deliverability Area</w:t>
      </w:r>
    </w:p>
    <w:p w14:paraId="21D03D49" w14:textId="77777777" w:rsidR="00B5142F" w:rsidRPr="00B5142F" w:rsidRDefault="00B5142F" w:rsidP="00B5142F">
      <w:pPr>
        <w:spacing w:after="0" w:line="240" w:lineRule="auto"/>
        <w:jc w:val="both"/>
        <w:textAlignment w:val="center"/>
        <w:rPr>
          <w:rFonts w:ascii="Calibri" w:eastAsia="Times New Roman" w:hAnsi="Calibri" w:cs="Times New Roman"/>
          <w:color w:val="000000" w:themeColor="text1"/>
        </w:rPr>
      </w:pPr>
      <w:r w:rsidRPr="00B5142F">
        <w:rPr>
          <w:rFonts w:ascii="Calibri" w:eastAsia="Times New Roman" w:hAnsi="Calibri" w:cs="Times New Roman"/>
          <w:color w:val="000000" w:themeColor="text1"/>
        </w:rPr>
        <w:t>#2 Kansas City Board of Public Utilities</w:t>
      </w:r>
    </w:p>
    <w:p w14:paraId="4CCBE0DA" w14:textId="77777777" w:rsidR="00B5142F" w:rsidRPr="00B5142F" w:rsidRDefault="00B5142F" w:rsidP="00B5142F">
      <w:pPr>
        <w:spacing w:after="0" w:line="240" w:lineRule="auto"/>
        <w:jc w:val="both"/>
        <w:textAlignment w:val="center"/>
        <w:rPr>
          <w:rFonts w:ascii="Calibri" w:eastAsia="Times New Roman" w:hAnsi="Calibri" w:cs="Times New Roman"/>
          <w:color w:val="000000" w:themeColor="text1"/>
        </w:rPr>
      </w:pPr>
      <w:r w:rsidRPr="00B5142F">
        <w:rPr>
          <w:rFonts w:ascii="Calibri" w:eastAsia="Times New Roman" w:hAnsi="Calibri" w:cs="Times New Roman"/>
          <w:color w:val="000000" w:themeColor="text1"/>
        </w:rPr>
        <w:t>#3 City Utilities of Springfield, Missouri</w:t>
      </w:r>
    </w:p>
    <w:p w14:paraId="447DE20A" w14:textId="77777777" w:rsidR="00B5142F" w:rsidRPr="00B5142F" w:rsidRDefault="00B5142F" w:rsidP="00B5142F">
      <w:pPr>
        <w:spacing w:after="0" w:line="240" w:lineRule="auto"/>
        <w:jc w:val="both"/>
        <w:textAlignment w:val="center"/>
        <w:rPr>
          <w:rFonts w:ascii="Calibri" w:eastAsia="Times New Roman" w:hAnsi="Calibri" w:cs="Times New Roman"/>
          <w:color w:val="000000" w:themeColor="text1"/>
        </w:rPr>
      </w:pPr>
      <w:r w:rsidRPr="00B5142F">
        <w:rPr>
          <w:rFonts w:ascii="Calibri" w:eastAsia="Times New Roman" w:hAnsi="Calibri" w:cs="Times New Roman"/>
          <w:color w:val="000000" w:themeColor="text1"/>
        </w:rPr>
        <w:t>#4 Empire District Electric Company</w:t>
      </w:r>
    </w:p>
    <w:p w14:paraId="2C55611E" w14:textId="77777777" w:rsidR="00B5142F" w:rsidRPr="00B5142F" w:rsidRDefault="00B5142F" w:rsidP="00B5142F">
      <w:pPr>
        <w:spacing w:after="0" w:line="240" w:lineRule="auto"/>
        <w:jc w:val="both"/>
        <w:textAlignment w:val="center"/>
        <w:rPr>
          <w:rFonts w:ascii="Calibri" w:eastAsia="Times New Roman" w:hAnsi="Calibri" w:cs="Times New Roman"/>
          <w:color w:val="000000" w:themeColor="text1"/>
        </w:rPr>
      </w:pPr>
      <w:r w:rsidRPr="00B5142F">
        <w:rPr>
          <w:rFonts w:ascii="Calibri" w:eastAsia="Times New Roman" w:hAnsi="Calibri" w:cs="Times New Roman"/>
          <w:color w:val="000000" w:themeColor="text1"/>
        </w:rPr>
        <w:t>#6 Evergy Metro</w:t>
      </w:r>
    </w:p>
    <w:p w14:paraId="627B7A50" w14:textId="77777777" w:rsidR="00B5142F" w:rsidRPr="00B5142F" w:rsidRDefault="00B5142F" w:rsidP="00B5142F">
      <w:pPr>
        <w:spacing w:after="0" w:line="240" w:lineRule="auto"/>
        <w:jc w:val="both"/>
        <w:textAlignment w:val="center"/>
        <w:rPr>
          <w:rFonts w:ascii="Calibri" w:eastAsia="Times New Roman" w:hAnsi="Calibri" w:cs="Times New Roman"/>
          <w:color w:val="000000" w:themeColor="text1"/>
        </w:rPr>
      </w:pPr>
      <w:r w:rsidRPr="00B5142F">
        <w:rPr>
          <w:rFonts w:ascii="Calibri" w:eastAsia="Times New Roman" w:hAnsi="Calibri" w:cs="Times New Roman"/>
          <w:color w:val="000000" w:themeColor="text1"/>
        </w:rPr>
        <w:t>#8 Midwest Energy</w:t>
      </w:r>
    </w:p>
    <w:p w14:paraId="361034AB" w14:textId="77777777" w:rsidR="00B5142F" w:rsidRPr="00B5142F" w:rsidRDefault="00B5142F" w:rsidP="00B5142F">
      <w:pPr>
        <w:spacing w:after="0" w:line="240" w:lineRule="auto"/>
        <w:jc w:val="both"/>
        <w:textAlignment w:val="center"/>
        <w:rPr>
          <w:rFonts w:ascii="Calibri" w:eastAsia="Times New Roman" w:hAnsi="Calibri" w:cs="Times New Roman"/>
          <w:color w:val="000000" w:themeColor="text1"/>
        </w:rPr>
      </w:pPr>
      <w:r w:rsidRPr="00B5142F">
        <w:rPr>
          <w:rFonts w:ascii="Calibri" w:eastAsia="Times New Roman" w:hAnsi="Calibri" w:cs="Times New Roman"/>
          <w:color w:val="000000" w:themeColor="text1"/>
        </w:rPr>
        <w:t>#9 Evergy Missouri West</w:t>
      </w:r>
    </w:p>
    <w:p w14:paraId="26C1434A" w14:textId="77777777" w:rsidR="00B5142F" w:rsidRPr="00B5142F" w:rsidRDefault="00B5142F" w:rsidP="00B5142F">
      <w:pPr>
        <w:spacing w:after="0" w:line="240" w:lineRule="auto"/>
        <w:jc w:val="both"/>
        <w:textAlignment w:val="center"/>
        <w:rPr>
          <w:rFonts w:ascii="Calibri" w:eastAsia="Times New Roman" w:hAnsi="Calibri" w:cs="Times New Roman"/>
          <w:color w:val="000000" w:themeColor="text1"/>
        </w:rPr>
      </w:pPr>
      <w:r w:rsidRPr="00B5142F">
        <w:rPr>
          <w:rFonts w:ascii="Calibri" w:eastAsia="Times New Roman" w:hAnsi="Calibri" w:cs="Times New Roman"/>
          <w:color w:val="000000" w:themeColor="text1"/>
        </w:rPr>
        <w:t>#12 Sunflower Electric Power Corporation</w:t>
      </w:r>
    </w:p>
    <w:p w14:paraId="5F3F2614" w14:textId="77777777" w:rsidR="00B5142F" w:rsidRPr="00B5142F" w:rsidRDefault="00B5142F" w:rsidP="00B5142F">
      <w:pPr>
        <w:spacing w:after="0" w:line="240" w:lineRule="auto"/>
        <w:jc w:val="both"/>
        <w:textAlignment w:val="center"/>
        <w:rPr>
          <w:rFonts w:ascii="Calibri" w:eastAsia="Times New Roman" w:hAnsi="Calibri" w:cs="Times New Roman"/>
          <w:color w:val="000000" w:themeColor="text1"/>
        </w:rPr>
      </w:pPr>
      <w:r w:rsidRPr="00B5142F">
        <w:rPr>
          <w:rFonts w:ascii="Calibri" w:eastAsia="Times New Roman" w:hAnsi="Calibri" w:cs="Times New Roman"/>
          <w:color w:val="000000" w:themeColor="text1"/>
        </w:rPr>
        <w:t>#14 Evergy Kansas Central</w:t>
      </w:r>
    </w:p>
    <w:p w14:paraId="14A4AFF3" w14:textId="77777777" w:rsidR="00B5142F" w:rsidRPr="00B5142F" w:rsidRDefault="00B5142F" w:rsidP="00B5142F">
      <w:pPr>
        <w:spacing w:after="0" w:line="240" w:lineRule="auto"/>
        <w:jc w:val="both"/>
        <w:textAlignment w:val="center"/>
        <w:rPr>
          <w:rFonts w:ascii="Calibri" w:eastAsia="Times New Roman" w:hAnsi="Calibri" w:cs="Times New Roman"/>
          <w:b/>
          <w:bCs/>
          <w:color w:val="000000" w:themeColor="text1"/>
        </w:rPr>
      </w:pPr>
    </w:p>
    <w:p w14:paraId="0CFEB939" w14:textId="77777777" w:rsidR="00B5142F" w:rsidRPr="00B5142F" w:rsidRDefault="00B5142F" w:rsidP="00B5142F">
      <w:pPr>
        <w:spacing w:after="0" w:line="240" w:lineRule="auto"/>
        <w:jc w:val="both"/>
        <w:textAlignment w:val="center"/>
        <w:rPr>
          <w:rFonts w:ascii="Calibri" w:eastAsia="Times New Roman" w:hAnsi="Calibri" w:cs="Times New Roman"/>
          <w:color w:val="000000" w:themeColor="text1"/>
          <w:u w:val="single"/>
        </w:rPr>
      </w:pPr>
      <w:r w:rsidRPr="00B5142F">
        <w:rPr>
          <w:rFonts w:ascii="Calibri" w:eastAsia="Times New Roman" w:hAnsi="Calibri" w:cs="Times New Roman"/>
          <w:color w:val="000000" w:themeColor="text1"/>
          <w:u w:val="single"/>
        </w:rPr>
        <w:t>North Deliverability Area</w:t>
      </w:r>
    </w:p>
    <w:p w14:paraId="23147F2C" w14:textId="77777777" w:rsidR="00B5142F" w:rsidRPr="00B5142F" w:rsidRDefault="00B5142F" w:rsidP="00B5142F">
      <w:pPr>
        <w:spacing w:after="0" w:line="240" w:lineRule="auto"/>
        <w:jc w:val="both"/>
        <w:textAlignment w:val="center"/>
        <w:rPr>
          <w:rFonts w:ascii="Calibri" w:eastAsia="Times New Roman" w:hAnsi="Calibri" w:cs="Times New Roman"/>
          <w:color w:val="000000" w:themeColor="text1"/>
        </w:rPr>
      </w:pPr>
      <w:r w:rsidRPr="00B5142F">
        <w:rPr>
          <w:rFonts w:ascii="Calibri" w:eastAsia="Times New Roman" w:hAnsi="Calibri" w:cs="Times New Roman"/>
          <w:color w:val="000000" w:themeColor="text1"/>
        </w:rPr>
        <w:t>#16 Lincoln Electric System</w:t>
      </w:r>
    </w:p>
    <w:p w14:paraId="645F8F0D" w14:textId="77777777" w:rsidR="00B5142F" w:rsidRPr="00B5142F" w:rsidRDefault="00B5142F" w:rsidP="00B5142F">
      <w:pPr>
        <w:spacing w:after="0" w:line="240" w:lineRule="auto"/>
        <w:jc w:val="both"/>
        <w:textAlignment w:val="center"/>
        <w:rPr>
          <w:rFonts w:ascii="Calibri" w:eastAsia="Times New Roman" w:hAnsi="Calibri" w:cs="Times New Roman"/>
          <w:color w:val="000000" w:themeColor="text1"/>
        </w:rPr>
      </w:pPr>
      <w:r w:rsidRPr="00B5142F">
        <w:rPr>
          <w:rFonts w:ascii="Calibri" w:eastAsia="Times New Roman" w:hAnsi="Calibri" w:cs="Times New Roman"/>
          <w:color w:val="000000" w:themeColor="text1"/>
        </w:rPr>
        <w:t>#17 Nebraska Public Power District</w:t>
      </w:r>
    </w:p>
    <w:p w14:paraId="40FFDE48" w14:textId="77777777" w:rsidR="00B5142F" w:rsidRPr="00B5142F" w:rsidRDefault="00B5142F" w:rsidP="00B5142F">
      <w:pPr>
        <w:spacing w:after="0" w:line="240" w:lineRule="auto"/>
        <w:jc w:val="both"/>
        <w:textAlignment w:val="center"/>
        <w:rPr>
          <w:rFonts w:ascii="Calibri" w:eastAsia="Times New Roman" w:hAnsi="Calibri" w:cs="Times New Roman"/>
          <w:color w:val="000000" w:themeColor="text1"/>
        </w:rPr>
      </w:pPr>
      <w:r w:rsidRPr="00B5142F">
        <w:rPr>
          <w:rFonts w:ascii="Calibri" w:eastAsia="Times New Roman" w:hAnsi="Calibri" w:cs="Times New Roman"/>
          <w:color w:val="000000" w:themeColor="text1"/>
        </w:rPr>
        <w:t>#18 Omaha Public Power District</w:t>
      </w:r>
    </w:p>
    <w:p w14:paraId="32FF53F6" w14:textId="77777777" w:rsidR="00B5142F" w:rsidRPr="00B5142F" w:rsidRDefault="00B5142F" w:rsidP="00B5142F">
      <w:pPr>
        <w:spacing w:after="0" w:line="240" w:lineRule="auto"/>
        <w:jc w:val="both"/>
        <w:textAlignment w:val="center"/>
        <w:rPr>
          <w:rFonts w:ascii="Calibri" w:eastAsia="Times New Roman" w:hAnsi="Calibri" w:cs="Times New Roman"/>
          <w:color w:val="000000" w:themeColor="text1"/>
        </w:rPr>
      </w:pPr>
      <w:r w:rsidRPr="00B5142F">
        <w:rPr>
          <w:rFonts w:ascii="Calibri" w:eastAsia="Times New Roman" w:hAnsi="Calibri" w:cs="Times New Roman"/>
          <w:color w:val="000000" w:themeColor="text1"/>
        </w:rPr>
        <w:t>#19 Upper Missouri Zone (Eastern Interconnection)</w:t>
      </w:r>
    </w:p>
    <w:p w14:paraId="4CB35E73" w14:textId="77777777" w:rsidR="00B5142F" w:rsidRDefault="00B5142F" w:rsidP="009921A8">
      <w:pPr>
        <w:spacing w:after="120" w:line="240" w:lineRule="auto"/>
        <w:jc w:val="both"/>
        <w:textAlignment w:val="center"/>
        <w:rPr>
          <w:rFonts w:ascii="Calibri" w:eastAsia="Times New Roman" w:hAnsi="Calibri" w:cs="Times New Roman"/>
          <w:color w:val="000000" w:themeColor="text1"/>
        </w:rPr>
      </w:pPr>
    </w:p>
    <w:p w14:paraId="2D52D061" w14:textId="2D1852FA" w:rsidR="00B5142F" w:rsidRDefault="00B5142F" w:rsidP="009921A8">
      <w:pPr>
        <w:spacing w:after="120" w:line="240" w:lineRule="auto"/>
        <w:jc w:val="both"/>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The approximate Deliverability Area boundaries are shown here:</w:t>
      </w:r>
    </w:p>
    <w:p w14:paraId="0DC7ECD9" w14:textId="56CDA387" w:rsidR="00B5142F" w:rsidRDefault="00B5142F" w:rsidP="009921A8">
      <w:pPr>
        <w:spacing w:after="120" w:line="240" w:lineRule="auto"/>
        <w:jc w:val="both"/>
        <w:textAlignment w:val="center"/>
        <w:rPr>
          <w:rFonts w:ascii="Calibri" w:eastAsia="Times New Roman" w:hAnsi="Calibri" w:cs="Times New Roman"/>
          <w:color w:val="000000" w:themeColor="text1"/>
        </w:rPr>
      </w:pPr>
      <w:r>
        <w:rPr>
          <w:noProof/>
        </w:rPr>
        <w:drawing>
          <wp:inline distT="0" distB="0" distL="0" distR="0" wp14:anchorId="2A0752A1" wp14:editId="75F9A322">
            <wp:extent cx="2999105" cy="3752850"/>
            <wp:effectExtent l="0" t="0" r="0" b="0"/>
            <wp:docPr id="1317252449" name="Picture 1" descr="Map&#10;&#10;Description automatically generated">
              <a:extLst xmlns:a="http://schemas.openxmlformats.org/drawingml/2006/main">
                <a:ext uri="{FF2B5EF4-FFF2-40B4-BE49-F238E27FC236}">
                  <a16:creationId xmlns:a16="http://schemas.microsoft.com/office/drawing/2014/main" id="{11E34577-7AF0-AFEF-01DB-9355783E16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52449" name="Picture 1" descr="Map&#10;&#10;Description automatically generated">
                      <a:extLst>
                        <a:ext uri="{FF2B5EF4-FFF2-40B4-BE49-F238E27FC236}">
                          <a16:creationId xmlns:a16="http://schemas.microsoft.com/office/drawing/2014/main" id="{11E34577-7AF0-AFEF-01DB-9355783E167E}"/>
                        </a:ext>
                      </a:extLst>
                    </pic:cNvPr>
                    <pic:cNvPicPr>
                      <a:picLocks noChangeAspect="1"/>
                    </pic:cNvPicPr>
                  </pic:nvPicPr>
                  <pic:blipFill rotWithShape="1">
                    <a:blip r:embed="rId9"/>
                    <a:srcRect l="23254" r="27782"/>
                    <a:stretch/>
                  </pic:blipFill>
                  <pic:spPr>
                    <a:xfrm>
                      <a:off x="0" y="0"/>
                      <a:ext cx="2999105" cy="3752850"/>
                    </a:xfrm>
                    <a:prstGeom prst="rect">
                      <a:avLst/>
                    </a:prstGeom>
                  </pic:spPr>
                </pic:pic>
              </a:graphicData>
            </a:graphic>
          </wp:inline>
        </w:drawing>
      </w:r>
    </w:p>
    <w:p w14:paraId="0A3CCFCF" w14:textId="77777777" w:rsidR="009921A8" w:rsidRDefault="009921A8" w:rsidP="009921A8">
      <w:pPr>
        <w:spacing w:after="120" w:line="240" w:lineRule="auto"/>
        <w:jc w:val="both"/>
        <w:textAlignment w:val="center"/>
        <w:rPr>
          <w:rFonts w:ascii="Calibri" w:eastAsia="Times New Roman" w:hAnsi="Calibri" w:cs="Times New Roman"/>
          <w:color w:val="000000" w:themeColor="text1"/>
        </w:rPr>
      </w:pPr>
    </w:p>
    <w:p w14:paraId="57BBF414" w14:textId="4D7F7B03" w:rsidR="009921A8" w:rsidRPr="00D81D54" w:rsidRDefault="009921A8" w:rsidP="009921A8">
      <w:pPr>
        <w:spacing w:after="120" w:line="240" w:lineRule="auto"/>
        <w:jc w:val="both"/>
        <w:textAlignment w:val="center"/>
        <w:rPr>
          <w:rFonts w:ascii="Calibri" w:eastAsia="Times New Roman" w:hAnsi="Calibri" w:cs="Times New Roman"/>
          <w:b/>
          <w:bCs/>
          <w:color w:val="000000" w:themeColor="text1"/>
        </w:rPr>
      </w:pPr>
      <w:r w:rsidRPr="00D81D54">
        <w:rPr>
          <w:rFonts w:ascii="Calibri" w:eastAsia="Times New Roman" w:hAnsi="Calibri" w:cs="Times New Roman"/>
          <w:b/>
          <w:bCs/>
          <w:color w:val="000000" w:themeColor="text1"/>
        </w:rPr>
        <w:t xml:space="preserve">Q: </w:t>
      </w:r>
      <w:r w:rsidR="001024E5" w:rsidRPr="00D81D54">
        <w:rPr>
          <w:rFonts w:ascii="Calibri" w:eastAsia="Times New Roman" w:hAnsi="Calibri" w:cs="Times New Roman"/>
          <w:b/>
          <w:bCs/>
          <w:color w:val="000000" w:themeColor="text1"/>
        </w:rPr>
        <w:t>If deliverability has already been evaluated when studying (and granting) NRIS+, why is an additional study process required for transmission service?</w:t>
      </w:r>
    </w:p>
    <w:p w14:paraId="25393F5E" w14:textId="0241B05F" w:rsidR="001024E5" w:rsidRDefault="001024E5" w:rsidP="009921A8">
      <w:pPr>
        <w:spacing w:after="120" w:line="240" w:lineRule="auto"/>
        <w:jc w:val="both"/>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A:</w:t>
      </w:r>
      <w:r w:rsidR="009A3F51">
        <w:rPr>
          <w:rFonts w:ascii="Calibri" w:eastAsia="Times New Roman" w:hAnsi="Calibri" w:cs="Times New Roman"/>
          <w:color w:val="000000" w:themeColor="text1"/>
        </w:rPr>
        <w:t xml:space="preserve"> The Expedited Designation process does not evaluate new upgrade needs; it only evaluates </w:t>
      </w:r>
      <w:r w:rsidR="00A331FA">
        <w:rPr>
          <w:rFonts w:ascii="Calibri" w:eastAsia="Times New Roman" w:hAnsi="Calibri" w:cs="Times New Roman"/>
          <w:color w:val="000000" w:themeColor="text1"/>
        </w:rPr>
        <w:t xml:space="preserve">Attachment </w:t>
      </w:r>
      <w:r w:rsidR="009A3F51">
        <w:rPr>
          <w:rFonts w:ascii="Calibri" w:eastAsia="Times New Roman" w:hAnsi="Calibri" w:cs="Times New Roman"/>
          <w:color w:val="000000" w:themeColor="text1"/>
        </w:rPr>
        <w:t xml:space="preserve">Z2 Credit Payment Obligations for the request. Z2 Credit Payment Obligations cannot be assessed while studying NRIS+ service, as the sink of the transmission service path is unknown at this time. </w:t>
      </w:r>
      <w:r w:rsidR="00D81D54">
        <w:rPr>
          <w:rFonts w:ascii="Calibri" w:eastAsia="Times New Roman" w:hAnsi="Calibri" w:cs="Times New Roman"/>
          <w:color w:val="000000" w:themeColor="text1"/>
        </w:rPr>
        <w:t>This</w:t>
      </w:r>
      <w:r w:rsidR="009A3F51">
        <w:rPr>
          <w:rFonts w:ascii="Calibri" w:eastAsia="Times New Roman" w:hAnsi="Calibri" w:cs="Times New Roman"/>
          <w:color w:val="000000" w:themeColor="text1"/>
        </w:rPr>
        <w:t xml:space="preserve"> separate </w:t>
      </w:r>
      <w:r w:rsidR="009A3F51">
        <w:rPr>
          <w:rFonts w:ascii="Calibri" w:eastAsia="Times New Roman" w:hAnsi="Calibri" w:cs="Times New Roman"/>
          <w:color w:val="000000" w:themeColor="text1"/>
        </w:rPr>
        <w:lastRenderedPageBreak/>
        <w:t xml:space="preserve">Expedited Designation process </w:t>
      </w:r>
      <w:r w:rsidR="00D81D54">
        <w:rPr>
          <w:rFonts w:ascii="Calibri" w:eastAsia="Times New Roman" w:hAnsi="Calibri" w:cs="Times New Roman"/>
          <w:color w:val="000000" w:themeColor="text1"/>
        </w:rPr>
        <w:t xml:space="preserve">is used </w:t>
      </w:r>
      <w:r w:rsidR="009A3F51">
        <w:rPr>
          <w:rFonts w:ascii="Calibri" w:eastAsia="Times New Roman" w:hAnsi="Calibri" w:cs="Times New Roman"/>
          <w:color w:val="000000" w:themeColor="text1"/>
        </w:rPr>
        <w:t xml:space="preserve">in order to assess </w:t>
      </w:r>
      <w:r w:rsidR="00D81D54">
        <w:rPr>
          <w:rFonts w:ascii="Calibri" w:eastAsia="Times New Roman" w:hAnsi="Calibri" w:cs="Times New Roman"/>
          <w:color w:val="000000" w:themeColor="text1"/>
        </w:rPr>
        <w:t xml:space="preserve">Z2 Credit Payment Obligations for </w:t>
      </w:r>
      <w:r w:rsidR="009A3F51">
        <w:rPr>
          <w:rFonts w:ascii="Calibri" w:eastAsia="Times New Roman" w:hAnsi="Calibri" w:cs="Times New Roman"/>
          <w:color w:val="000000" w:themeColor="text1"/>
        </w:rPr>
        <w:t xml:space="preserve">these requests consistent with other long-term service requests </w:t>
      </w:r>
      <w:r w:rsidR="00D81D54">
        <w:rPr>
          <w:rFonts w:ascii="Calibri" w:eastAsia="Times New Roman" w:hAnsi="Calibri" w:cs="Times New Roman"/>
          <w:color w:val="000000" w:themeColor="text1"/>
        </w:rPr>
        <w:t xml:space="preserve">that are </w:t>
      </w:r>
      <w:r w:rsidR="009A3F51">
        <w:rPr>
          <w:rFonts w:ascii="Calibri" w:eastAsia="Times New Roman" w:hAnsi="Calibri" w:cs="Times New Roman"/>
          <w:color w:val="000000" w:themeColor="text1"/>
        </w:rPr>
        <w:t>evaluated in the ATSS.</w:t>
      </w:r>
    </w:p>
    <w:p w14:paraId="2DABC0FA" w14:textId="77777777" w:rsidR="001024E5" w:rsidRDefault="001024E5" w:rsidP="009921A8">
      <w:pPr>
        <w:spacing w:after="120" w:line="240" w:lineRule="auto"/>
        <w:jc w:val="both"/>
        <w:textAlignment w:val="center"/>
        <w:rPr>
          <w:rFonts w:ascii="Calibri" w:eastAsia="Times New Roman" w:hAnsi="Calibri" w:cs="Times New Roman"/>
          <w:color w:val="000000" w:themeColor="text1"/>
        </w:rPr>
      </w:pPr>
    </w:p>
    <w:p w14:paraId="5CD895B6" w14:textId="0054C394" w:rsidR="001024E5" w:rsidRPr="00D81D54" w:rsidRDefault="001024E5" w:rsidP="009921A8">
      <w:pPr>
        <w:spacing w:after="120" w:line="240" w:lineRule="auto"/>
        <w:jc w:val="both"/>
        <w:textAlignment w:val="center"/>
        <w:rPr>
          <w:rFonts w:ascii="Calibri" w:eastAsia="Times New Roman" w:hAnsi="Calibri" w:cs="Times New Roman"/>
          <w:b/>
          <w:bCs/>
          <w:color w:val="000000" w:themeColor="text1"/>
        </w:rPr>
      </w:pPr>
      <w:r w:rsidRPr="00D81D54">
        <w:rPr>
          <w:rFonts w:ascii="Calibri" w:eastAsia="Times New Roman" w:hAnsi="Calibri" w:cs="Times New Roman"/>
          <w:b/>
          <w:bCs/>
          <w:color w:val="000000" w:themeColor="text1"/>
        </w:rPr>
        <w:t>Q: What does the Expedited Designation study process entail?</w:t>
      </w:r>
    </w:p>
    <w:p w14:paraId="78D6E6BE" w14:textId="56B69F0F" w:rsidR="001024E5" w:rsidRDefault="001024E5" w:rsidP="00C57CD0">
      <w:pPr>
        <w:spacing w:after="0" w:line="240" w:lineRule="auto"/>
        <w:jc w:val="both"/>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 xml:space="preserve">A: </w:t>
      </w:r>
      <w:r w:rsidR="00D81D54">
        <w:rPr>
          <w:rFonts w:ascii="Calibri" w:eastAsia="Times New Roman" w:hAnsi="Calibri" w:cs="Times New Roman"/>
          <w:color w:val="000000" w:themeColor="text1"/>
        </w:rPr>
        <w:t xml:space="preserve">The Expedited Designation process evaluates the request for Base Plan Funding (BPF) eligibility, and evaluates impacts on Z2 </w:t>
      </w:r>
      <w:r w:rsidR="00A331FA">
        <w:rPr>
          <w:rFonts w:ascii="Calibri" w:eastAsia="Times New Roman" w:hAnsi="Calibri" w:cs="Times New Roman"/>
          <w:color w:val="000000" w:themeColor="text1"/>
        </w:rPr>
        <w:t>C</w:t>
      </w:r>
      <w:r w:rsidR="00D81D54">
        <w:rPr>
          <w:rFonts w:ascii="Calibri" w:eastAsia="Times New Roman" w:hAnsi="Calibri" w:cs="Times New Roman"/>
          <w:color w:val="000000" w:themeColor="text1"/>
        </w:rPr>
        <w:t xml:space="preserve">reditable </w:t>
      </w:r>
      <w:r w:rsidR="00A331FA">
        <w:rPr>
          <w:rFonts w:ascii="Calibri" w:eastAsia="Times New Roman" w:hAnsi="Calibri" w:cs="Times New Roman"/>
          <w:color w:val="000000" w:themeColor="text1"/>
        </w:rPr>
        <w:t>U</w:t>
      </w:r>
      <w:r w:rsidR="00D81D54">
        <w:rPr>
          <w:rFonts w:ascii="Calibri" w:eastAsia="Times New Roman" w:hAnsi="Calibri" w:cs="Times New Roman"/>
          <w:color w:val="000000" w:themeColor="text1"/>
        </w:rPr>
        <w:t xml:space="preserve">pgrades for the source to sink path of the request.  The Z2 Credit Payment Obligations are identified for each upgrade with impacts, and any BPF associated with these Z2 Credit Payment Obligations is identified. </w:t>
      </w:r>
    </w:p>
    <w:p w14:paraId="1230D4B6" w14:textId="104D0024" w:rsidR="009C428B" w:rsidRDefault="009C428B">
      <w:pPr>
        <w:rPr>
          <w:rFonts w:ascii="Calibri" w:eastAsia="Times New Roman" w:hAnsi="Calibri" w:cs="Times New Roman"/>
          <w:b/>
          <w:bCs/>
          <w:color w:val="000000" w:themeColor="text1"/>
        </w:rPr>
      </w:pPr>
    </w:p>
    <w:p w14:paraId="59796EB1" w14:textId="66101635" w:rsidR="001024E5" w:rsidRPr="00C57CD0" w:rsidRDefault="001024E5" w:rsidP="009921A8">
      <w:pPr>
        <w:spacing w:after="120" w:line="240" w:lineRule="auto"/>
        <w:jc w:val="both"/>
        <w:textAlignment w:val="center"/>
        <w:rPr>
          <w:rFonts w:ascii="Calibri" w:eastAsia="Times New Roman" w:hAnsi="Calibri" w:cs="Times New Roman"/>
          <w:b/>
          <w:bCs/>
          <w:color w:val="000000" w:themeColor="text1"/>
        </w:rPr>
      </w:pPr>
      <w:r w:rsidRPr="00C57CD0">
        <w:rPr>
          <w:rFonts w:ascii="Calibri" w:eastAsia="Times New Roman" w:hAnsi="Calibri" w:cs="Times New Roman"/>
          <w:b/>
          <w:bCs/>
          <w:color w:val="000000" w:themeColor="text1"/>
        </w:rPr>
        <w:t xml:space="preserve">Q: How is the Expedited Designation process different from the </w:t>
      </w:r>
      <w:r w:rsidR="00EE1576" w:rsidRPr="00C57CD0">
        <w:rPr>
          <w:rFonts w:ascii="Calibri" w:eastAsia="Times New Roman" w:hAnsi="Calibri" w:cs="Times New Roman"/>
          <w:b/>
          <w:bCs/>
          <w:color w:val="000000" w:themeColor="text1"/>
        </w:rPr>
        <w:t>ATSS</w:t>
      </w:r>
      <w:r w:rsidRPr="00C57CD0">
        <w:rPr>
          <w:rFonts w:ascii="Calibri" w:eastAsia="Times New Roman" w:hAnsi="Calibri" w:cs="Times New Roman"/>
          <w:b/>
          <w:bCs/>
          <w:color w:val="000000" w:themeColor="text1"/>
        </w:rPr>
        <w:t xml:space="preserve"> process?</w:t>
      </w:r>
    </w:p>
    <w:p w14:paraId="6BEDEB5B" w14:textId="5389954A" w:rsidR="001024E5" w:rsidRDefault="001024E5" w:rsidP="00C57CD0">
      <w:pPr>
        <w:spacing w:after="0" w:line="240" w:lineRule="auto"/>
        <w:jc w:val="both"/>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 xml:space="preserve">A: </w:t>
      </w:r>
      <w:r w:rsidR="00EE1576">
        <w:rPr>
          <w:rFonts w:ascii="Calibri" w:eastAsia="Times New Roman" w:hAnsi="Calibri" w:cs="Times New Roman"/>
          <w:color w:val="000000" w:themeColor="text1"/>
        </w:rPr>
        <w:t>The Expedited Designation process is an alternative to the ATSS process. Both processes evaluate long-term transmission service requests before SPP grants the service. A comparison of the two processes is shown below:</w:t>
      </w:r>
    </w:p>
    <w:p w14:paraId="058F1FE5" w14:textId="77777777" w:rsidR="00C57CD0" w:rsidRDefault="00C57CD0" w:rsidP="00C57CD0">
      <w:pPr>
        <w:spacing w:after="0" w:line="240" w:lineRule="auto"/>
        <w:jc w:val="both"/>
        <w:textAlignment w:val="center"/>
        <w:rPr>
          <w:rFonts w:ascii="Calibri" w:eastAsia="Times New Roman" w:hAnsi="Calibri" w:cs="Times New Roman"/>
          <w:color w:val="000000" w:themeColor="text1"/>
        </w:rPr>
      </w:pPr>
    </w:p>
    <w:tbl>
      <w:tblPr>
        <w:tblW w:w="8905" w:type="dxa"/>
        <w:tblLook w:val="04A0" w:firstRow="1" w:lastRow="0" w:firstColumn="1" w:lastColumn="0" w:noHBand="0" w:noVBand="1"/>
      </w:tblPr>
      <w:tblGrid>
        <w:gridCol w:w="4765"/>
        <w:gridCol w:w="4140"/>
      </w:tblGrid>
      <w:tr w:rsidR="00A331FA" w:rsidRPr="00091342" w14:paraId="13E1DB6E" w14:textId="77777777" w:rsidTr="001F297D">
        <w:trPr>
          <w:trHeight w:val="330"/>
        </w:trPr>
        <w:tc>
          <w:tcPr>
            <w:tcW w:w="4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0861F" w14:textId="19FC9F2F" w:rsidR="00A331FA" w:rsidRPr="00091342" w:rsidRDefault="00A331FA" w:rsidP="001F297D">
            <w:pPr>
              <w:spacing w:after="0"/>
              <w:rPr>
                <w:rFonts w:eastAsia="Times New Roman" w:cs="Segoe UI"/>
                <w:b/>
                <w:bCs/>
                <w:color w:val="000000"/>
              </w:rPr>
            </w:pPr>
            <w:bookmarkStart w:id="0" w:name="_Hlk193879957"/>
            <w:r w:rsidRPr="00091342">
              <w:rPr>
                <w:rFonts w:eastAsia="Times New Roman" w:cs="Segoe UI"/>
                <w:b/>
                <w:bCs/>
                <w:color w:val="000000"/>
              </w:rPr>
              <w:t>ATSS</w:t>
            </w:r>
            <w:r w:rsidR="009C428B">
              <w:rPr>
                <w:rFonts w:eastAsia="Times New Roman" w:cs="Segoe UI"/>
                <w:b/>
                <w:bCs/>
                <w:color w:val="000000"/>
              </w:rPr>
              <w:t xml:space="preserve"> Process</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0F964BAD" w14:textId="24CA5B6D" w:rsidR="00A331FA" w:rsidRPr="00091342" w:rsidRDefault="00A331FA" w:rsidP="001F297D">
            <w:pPr>
              <w:spacing w:after="0"/>
              <w:rPr>
                <w:rFonts w:eastAsia="Times New Roman" w:cs="Segoe UI"/>
                <w:b/>
                <w:bCs/>
                <w:color w:val="000000"/>
              </w:rPr>
            </w:pPr>
            <w:r w:rsidRPr="00091342">
              <w:rPr>
                <w:rFonts w:eastAsia="Times New Roman" w:cs="Segoe UI"/>
                <w:b/>
                <w:bCs/>
                <w:color w:val="000000"/>
              </w:rPr>
              <w:t xml:space="preserve">Expedited Designation </w:t>
            </w:r>
            <w:r w:rsidR="009C428B">
              <w:rPr>
                <w:rFonts w:eastAsia="Times New Roman" w:cs="Segoe UI"/>
                <w:b/>
                <w:bCs/>
                <w:color w:val="000000"/>
              </w:rPr>
              <w:t>Process</w:t>
            </w:r>
          </w:p>
        </w:tc>
      </w:tr>
      <w:tr w:rsidR="00A331FA" w:rsidRPr="00091342" w14:paraId="79F825AD" w14:textId="77777777" w:rsidTr="001F297D">
        <w:trPr>
          <w:trHeight w:val="330"/>
        </w:trPr>
        <w:tc>
          <w:tcPr>
            <w:tcW w:w="4765" w:type="dxa"/>
            <w:tcBorders>
              <w:top w:val="nil"/>
              <w:left w:val="single" w:sz="4" w:space="0" w:color="auto"/>
              <w:bottom w:val="single" w:sz="4" w:space="0" w:color="auto"/>
              <w:right w:val="single" w:sz="4" w:space="0" w:color="auto"/>
            </w:tcBorders>
            <w:shd w:val="clear" w:color="auto" w:fill="auto"/>
            <w:vAlign w:val="center"/>
            <w:hideMark/>
          </w:tcPr>
          <w:p w14:paraId="5AABCB8C" w14:textId="521F9641" w:rsidR="00A331FA" w:rsidRPr="00091342" w:rsidRDefault="00A331FA" w:rsidP="001F297D">
            <w:pPr>
              <w:spacing w:after="0"/>
              <w:rPr>
                <w:rFonts w:eastAsia="Times New Roman" w:cs="Segoe UI"/>
                <w:color w:val="000000"/>
              </w:rPr>
            </w:pPr>
            <w:r w:rsidRPr="00091342">
              <w:rPr>
                <w:rFonts w:eastAsia="Times New Roman" w:cs="Segoe UI"/>
                <w:color w:val="000000"/>
              </w:rPr>
              <w:t>165 day</w:t>
            </w:r>
            <w:r w:rsidR="00110348">
              <w:rPr>
                <w:rFonts w:eastAsia="Times New Roman" w:cs="Segoe UI"/>
                <w:color w:val="000000"/>
              </w:rPr>
              <w:t>s plus time required to update service agreement</w:t>
            </w:r>
          </w:p>
        </w:tc>
        <w:tc>
          <w:tcPr>
            <w:tcW w:w="4140" w:type="dxa"/>
            <w:tcBorders>
              <w:top w:val="nil"/>
              <w:left w:val="nil"/>
              <w:bottom w:val="single" w:sz="4" w:space="0" w:color="auto"/>
              <w:right w:val="single" w:sz="4" w:space="0" w:color="auto"/>
            </w:tcBorders>
            <w:shd w:val="clear" w:color="auto" w:fill="auto"/>
            <w:vAlign w:val="center"/>
            <w:hideMark/>
          </w:tcPr>
          <w:p w14:paraId="0BACA9BB" w14:textId="12437C4B" w:rsidR="00A331FA" w:rsidRPr="00091342" w:rsidRDefault="00A331FA" w:rsidP="001F297D">
            <w:pPr>
              <w:spacing w:after="0"/>
              <w:rPr>
                <w:rFonts w:eastAsia="Times New Roman" w:cs="Segoe UI"/>
                <w:color w:val="000000"/>
              </w:rPr>
            </w:pPr>
            <w:r w:rsidRPr="00091342">
              <w:rPr>
                <w:rFonts w:eastAsia="Times New Roman" w:cs="Segoe UI"/>
                <w:color w:val="000000"/>
              </w:rPr>
              <w:t>90 day</w:t>
            </w:r>
            <w:r w:rsidR="00110348">
              <w:rPr>
                <w:rFonts w:eastAsia="Times New Roman" w:cs="Segoe UI"/>
                <w:color w:val="000000"/>
              </w:rPr>
              <w:t>s including service agreement update</w:t>
            </w:r>
          </w:p>
        </w:tc>
      </w:tr>
      <w:tr w:rsidR="00A331FA" w:rsidRPr="00091342" w14:paraId="4C401F31" w14:textId="77777777" w:rsidTr="00A331FA">
        <w:trPr>
          <w:trHeight w:val="737"/>
        </w:trPr>
        <w:tc>
          <w:tcPr>
            <w:tcW w:w="4765" w:type="dxa"/>
            <w:tcBorders>
              <w:top w:val="nil"/>
              <w:left w:val="single" w:sz="4" w:space="0" w:color="auto"/>
              <w:bottom w:val="single" w:sz="4" w:space="0" w:color="auto"/>
              <w:right w:val="single" w:sz="4" w:space="0" w:color="auto"/>
            </w:tcBorders>
            <w:shd w:val="clear" w:color="auto" w:fill="auto"/>
            <w:vAlign w:val="center"/>
            <w:hideMark/>
          </w:tcPr>
          <w:p w14:paraId="3FCA4746" w14:textId="3700ED26" w:rsidR="00A331FA" w:rsidRPr="00091342" w:rsidRDefault="00A331FA" w:rsidP="001F297D">
            <w:pPr>
              <w:spacing w:after="0"/>
              <w:rPr>
                <w:rFonts w:eastAsia="Times New Roman" w:cs="Segoe UI"/>
                <w:color w:val="000000"/>
              </w:rPr>
            </w:pPr>
            <w:r w:rsidRPr="00091342">
              <w:rPr>
                <w:rFonts w:eastAsia="Times New Roman" w:cs="Segoe UI"/>
                <w:color w:val="000000"/>
              </w:rPr>
              <w:t xml:space="preserve">Evaluates service upgrade needs </w:t>
            </w:r>
            <w:r w:rsidRPr="007A776B">
              <w:rPr>
                <w:rFonts w:eastAsia="Times New Roman" w:cs="Segoe UI"/>
                <w:color w:val="000000"/>
                <w:u w:val="single"/>
              </w:rPr>
              <w:t>and</w:t>
            </w:r>
            <w:r w:rsidRPr="00091342">
              <w:rPr>
                <w:rFonts w:eastAsia="Times New Roman" w:cs="Segoe UI"/>
                <w:color w:val="000000"/>
              </w:rPr>
              <w:t xml:space="preserve"> evaluates Z2 Credit Payment Obligations</w:t>
            </w:r>
          </w:p>
        </w:tc>
        <w:tc>
          <w:tcPr>
            <w:tcW w:w="4140" w:type="dxa"/>
            <w:tcBorders>
              <w:top w:val="nil"/>
              <w:left w:val="nil"/>
              <w:bottom w:val="single" w:sz="4" w:space="0" w:color="auto"/>
              <w:right w:val="single" w:sz="4" w:space="0" w:color="auto"/>
            </w:tcBorders>
            <w:shd w:val="clear" w:color="auto" w:fill="auto"/>
            <w:vAlign w:val="center"/>
            <w:hideMark/>
          </w:tcPr>
          <w:p w14:paraId="4E1D11C9" w14:textId="39969775" w:rsidR="00A331FA" w:rsidRPr="00091342" w:rsidRDefault="00A331FA" w:rsidP="001F297D">
            <w:pPr>
              <w:spacing w:after="0"/>
              <w:rPr>
                <w:rFonts w:eastAsia="Times New Roman" w:cs="Segoe UI"/>
                <w:color w:val="000000"/>
              </w:rPr>
            </w:pPr>
            <w:r w:rsidRPr="00091342">
              <w:rPr>
                <w:rFonts w:eastAsia="Times New Roman" w:cs="Segoe UI"/>
                <w:color w:val="000000"/>
              </w:rPr>
              <w:t>Evaluates Z2 Credit Payment Obligations only</w:t>
            </w:r>
          </w:p>
        </w:tc>
      </w:tr>
      <w:tr w:rsidR="00A331FA" w:rsidRPr="00091342" w14:paraId="4FCDF6DA" w14:textId="77777777" w:rsidTr="00A331FA">
        <w:trPr>
          <w:trHeight w:val="449"/>
        </w:trPr>
        <w:tc>
          <w:tcPr>
            <w:tcW w:w="4765" w:type="dxa"/>
            <w:tcBorders>
              <w:top w:val="nil"/>
              <w:left w:val="single" w:sz="4" w:space="0" w:color="auto"/>
              <w:bottom w:val="single" w:sz="4" w:space="0" w:color="auto"/>
              <w:right w:val="single" w:sz="4" w:space="0" w:color="auto"/>
            </w:tcBorders>
            <w:shd w:val="clear" w:color="auto" w:fill="auto"/>
            <w:vAlign w:val="center"/>
          </w:tcPr>
          <w:p w14:paraId="52F9661A" w14:textId="77777777" w:rsidR="00A331FA" w:rsidRPr="00091342" w:rsidRDefault="00A331FA" w:rsidP="001F297D">
            <w:pPr>
              <w:spacing w:after="0"/>
              <w:rPr>
                <w:rFonts w:eastAsia="Times New Roman" w:cs="Segoe UI"/>
                <w:color w:val="000000"/>
              </w:rPr>
            </w:pPr>
            <w:r w:rsidRPr="00091342">
              <w:rPr>
                <w:rFonts w:eastAsia="Times New Roman" w:cs="Segoe UI"/>
                <w:color w:val="000000"/>
              </w:rPr>
              <w:t>Aggregates multiple requests into a single study</w:t>
            </w:r>
          </w:p>
        </w:tc>
        <w:tc>
          <w:tcPr>
            <w:tcW w:w="4140" w:type="dxa"/>
            <w:tcBorders>
              <w:top w:val="nil"/>
              <w:left w:val="nil"/>
              <w:bottom w:val="single" w:sz="4" w:space="0" w:color="auto"/>
              <w:right w:val="single" w:sz="4" w:space="0" w:color="auto"/>
            </w:tcBorders>
            <w:shd w:val="clear" w:color="auto" w:fill="auto"/>
            <w:vAlign w:val="center"/>
          </w:tcPr>
          <w:p w14:paraId="44CEE257" w14:textId="77777777" w:rsidR="00A331FA" w:rsidRPr="00091342" w:rsidRDefault="00A331FA" w:rsidP="001F297D">
            <w:pPr>
              <w:spacing w:after="0"/>
              <w:rPr>
                <w:rFonts w:eastAsia="Times New Roman" w:cs="Segoe UI"/>
                <w:color w:val="000000"/>
              </w:rPr>
            </w:pPr>
            <w:r w:rsidRPr="00091342">
              <w:rPr>
                <w:rFonts w:eastAsia="Times New Roman" w:cs="Segoe UI"/>
                <w:color w:val="000000"/>
              </w:rPr>
              <w:t>Each request is studied separately</w:t>
            </w:r>
          </w:p>
        </w:tc>
      </w:tr>
      <w:tr w:rsidR="00A331FA" w:rsidRPr="00091342" w14:paraId="6DEEACFB" w14:textId="77777777" w:rsidTr="001F297D">
        <w:trPr>
          <w:trHeight w:val="660"/>
        </w:trPr>
        <w:tc>
          <w:tcPr>
            <w:tcW w:w="4765" w:type="dxa"/>
            <w:tcBorders>
              <w:top w:val="nil"/>
              <w:left w:val="single" w:sz="4" w:space="0" w:color="auto"/>
              <w:bottom w:val="single" w:sz="4" w:space="0" w:color="auto"/>
              <w:right w:val="single" w:sz="4" w:space="0" w:color="auto"/>
            </w:tcBorders>
            <w:shd w:val="clear" w:color="auto" w:fill="auto"/>
            <w:vAlign w:val="center"/>
          </w:tcPr>
          <w:p w14:paraId="2B83DB78" w14:textId="77777777" w:rsidR="00A331FA" w:rsidRPr="00091342" w:rsidRDefault="00A331FA" w:rsidP="001F297D">
            <w:pPr>
              <w:spacing w:after="0"/>
              <w:rPr>
                <w:rFonts w:eastAsia="Times New Roman" w:cs="Segoe UI"/>
                <w:color w:val="000000"/>
              </w:rPr>
            </w:pPr>
            <w:r>
              <w:rPr>
                <w:rFonts w:eastAsia="Times New Roman" w:cs="Segoe UI"/>
                <w:color w:val="000000"/>
              </w:rPr>
              <w:t>Any SPP long-term service request can be evaluated</w:t>
            </w:r>
          </w:p>
        </w:tc>
        <w:tc>
          <w:tcPr>
            <w:tcW w:w="4140" w:type="dxa"/>
            <w:tcBorders>
              <w:top w:val="nil"/>
              <w:left w:val="nil"/>
              <w:bottom w:val="single" w:sz="4" w:space="0" w:color="auto"/>
              <w:right w:val="single" w:sz="4" w:space="0" w:color="auto"/>
            </w:tcBorders>
            <w:shd w:val="clear" w:color="auto" w:fill="auto"/>
            <w:vAlign w:val="center"/>
          </w:tcPr>
          <w:p w14:paraId="7C874F00" w14:textId="77777777" w:rsidR="00A331FA" w:rsidRPr="00091342" w:rsidRDefault="00A331FA" w:rsidP="001F297D">
            <w:pPr>
              <w:spacing w:after="0"/>
              <w:rPr>
                <w:rFonts w:eastAsia="Times New Roman" w:cs="Segoe UI"/>
                <w:color w:val="000000"/>
              </w:rPr>
            </w:pPr>
            <w:r>
              <w:rPr>
                <w:rFonts w:eastAsia="Times New Roman" w:cs="Segoe UI"/>
                <w:color w:val="000000"/>
              </w:rPr>
              <w:t>Requirements to enter the process are more stringent</w:t>
            </w:r>
          </w:p>
        </w:tc>
      </w:tr>
      <w:bookmarkEnd w:id="0"/>
    </w:tbl>
    <w:p w14:paraId="5567F00B" w14:textId="77777777" w:rsidR="00EE1576" w:rsidRDefault="00EE1576" w:rsidP="009921A8">
      <w:pPr>
        <w:spacing w:after="120" w:line="240" w:lineRule="auto"/>
        <w:jc w:val="both"/>
        <w:textAlignment w:val="center"/>
        <w:rPr>
          <w:rFonts w:ascii="Calibri" w:eastAsia="Times New Roman" w:hAnsi="Calibri" w:cs="Times New Roman"/>
          <w:color w:val="000000" w:themeColor="text1"/>
        </w:rPr>
      </w:pPr>
    </w:p>
    <w:p w14:paraId="21E27038" w14:textId="77777777" w:rsidR="00EE1576" w:rsidRDefault="00EE1576" w:rsidP="009921A8">
      <w:pPr>
        <w:spacing w:after="120" w:line="240" w:lineRule="auto"/>
        <w:jc w:val="both"/>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 xml:space="preserve">The more stringent requirements to enter the Expedited Designation process include: </w:t>
      </w:r>
    </w:p>
    <w:p w14:paraId="5C9215F7" w14:textId="77777777" w:rsidR="00C57CD0" w:rsidRDefault="00C57CD0" w:rsidP="00C57CD0">
      <w:pPr>
        <w:pStyle w:val="ListParagraph"/>
        <w:numPr>
          <w:ilvl w:val="0"/>
          <w:numId w:val="23"/>
        </w:numPr>
        <w:spacing w:after="120" w:line="240" w:lineRule="auto"/>
        <w:jc w:val="both"/>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T</w:t>
      </w:r>
      <w:r w:rsidR="00EE1576" w:rsidRPr="00EE1576">
        <w:rPr>
          <w:rFonts w:ascii="Calibri" w:eastAsia="Times New Roman" w:hAnsi="Calibri" w:cs="Times New Roman"/>
          <w:color w:val="000000" w:themeColor="text1"/>
        </w:rPr>
        <w:t>he source must have Network Resource Deliverability through the NRIS+ process</w:t>
      </w:r>
      <w:r>
        <w:rPr>
          <w:rFonts w:ascii="Calibri" w:eastAsia="Times New Roman" w:hAnsi="Calibri" w:cs="Times New Roman"/>
          <w:color w:val="000000" w:themeColor="text1"/>
        </w:rPr>
        <w:t>,</w:t>
      </w:r>
    </w:p>
    <w:p w14:paraId="6834DBFC" w14:textId="3E56D7B9" w:rsidR="00C57CD0" w:rsidRDefault="00C57CD0" w:rsidP="00EE1576">
      <w:pPr>
        <w:pStyle w:val="ListParagraph"/>
        <w:numPr>
          <w:ilvl w:val="0"/>
          <w:numId w:val="23"/>
        </w:numPr>
        <w:spacing w:after="120" w:line="240" w:lineRule="auto"/>
        <w:jc w:val="both"/>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T</w:t>
      </w:r>
      <w:r w:rsidR="00EE1576" w:rsidRPr="00EE1576">
        <w:rPr>
          <w:rFonts w:ascii="Calibri" w:eastAsia="Times New Roman" w:hAnsi="Calibri" w:cs="Times New Roman"/>
          <w:color w:val="000000" w:themeColor="text1"/>
        </w:rPr>
        <w:t xml:space="preserve">he source </w:t>
      </w:r>
      <w:r>
        <w:rPr>
          <w:rFonts w:ascii="Calibri" w:eastAsia="Times New Roman" w:hAnsi="Calibri" w:cs="Times New Roman"/>
          <w:color w:val="000000" w:themeColor="text1"/>
        </w:rPr>
        <w:t>must be</w:t>
      </w:r>
      <w:r w:rsidR="00EE1576" w:rsidRPr="00EE1576">
        <w:rPr>
          <w:rFonts w:ascii="Calibri" w:eastAsia="Times New Roman" w:hAnsi="Calibri" w:cs="Times New Roman"/>
          <w:color w:val="000000" w:themeColor="text1"/>
        </w:rPr>
        <w:t xml:space="preserve"> in the same Deliverability Area as some or all of the customer’s network load,</w:t>
      </w:r>
    </w:p>
    <w:p w14:paraId="4E04ADEE" w14:textId="77777777" w:rsidR="00C57CD0" w:rsidRDefault="00C57CD0" w:rsidP="00C57CD0">
      <w:pPr>
        <w:pStyle w:val="ListParagraph"/>
        <w:numPr>
          <w:ilvl w:val="0"/>
          <w:numId w:val="23"/>
        </w:numPr>
        <w:spacing w:after="120" w:line="240" w:lineRule="auto"/>
        <w:jc w:val="both"/>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T</w:t>
      </w:r>
      <w:r w:rsidR="00EE1576" w:rsidRPr="00EE1576">
        <w:rPr>
          <w:rFonts w:ascii="Calibri" w:eastAsia="Times New Roman" w:hAnsi="Calibri" w:cs="Times New Roman"/>
          <w:color w:val="000000" w:themeColor="text1"/>
        </w:rPr>
        <w:t xml:space="preserve">he capacity of the designation request </w:t>
      </w:r>
      <w:r>
        <w:rPr>
          <w:rFonts w:ascii="Calibri" w:eastAsia="Times New Roman" w:hAnsi="Calibri" w:cs="Times New Roman"/>
          <w:color w:val="000000" w:themeColor="text1"/>
        </w:rPr>
        <w:t>cannot</w:t>
      </w:r>
      <w:r w:rsidR="00EE1576" w:rsidRPr="00EE1576">
        <w:rPr>
          <w:rFonts w:ascii="Calibri" w:eastAsia="Times New Roman" w:hAnsi="Calibri" w:cs="Times New Roman"/>
          <w:color w:val="000000" w:themeColor="text1"/>
        </w:rPr>
        <w:t xml:space="preserve"> exceed the threshold described below:</w:t>
      </w:r>
    </w:p>
    <w:p w14:paraId="08539BA4" w14:textId="2890972F" w:rsidR="00EE1576" w:rsidRPr="00C57CD0" w:rsidRDefault="00EE1576" w:rsidP="00C57CD0">
      <w:pPr>
        <w:pStyle w:val="ListParagraph"/>
        <w:numPr>
          <w:ilvl w:val="1"/>
          <w:numId w:val="23"/>
        </w:numPr>
        <w:spacing w:after="0" w:line="240" w:lineRule="auto"/>
        <w:jc w:val="both"/>
        <w:textAlignment w:val="center"/>
        <w:rPr>
          <w:rFonts w:ascii="Calibri" w:eastAsia="Times New Roman" w:hAnsi="Calibri" w:cs="Times New Roman"/>
          <w:color w:val="000000" w:themeColor="text1"/>
        </w:rPr>
      </w:pPr>
      <w:r>
        <w:t xml:space="preserve">For the first year the resource is planned to be designated, SPP will compute the ratio of the Eligible Customer’s system peak responsibility in the </w:t>
      </w:r>
      <w:r w:rsidR="00C57CD0">
        <w:t>Deliverability Area</w:t>
      </w:r>
      <w:r>
        <w:t xml:space="preserve"> where the resource is loc</w:t>
      </w:r>
      <w:r w:rsidR="00C57CD0">
        <w:t>a</w:t>
      </w:r>
      <w:r>
        <w:t xml:space="preserve">ted to the Eligible Customer’s system peak responsibility located in all </w:t>
      </w:r>
      <w:r w:rsidR="00C57CD0">
        <w:t>Deliverability Areas</w:t>
      </w:r>
      <w:r>
        <w:t xml:space="preserve"> in SPP.</w:t>
      </w:r>
    </w:p>
    <w:p w14:paraId="0A868772" w14:textId="77777777" w:rsidR="00EE1576" w:rsidRDefault="00EE1576" w:rsidP="00C57CD0">
      <w:pPr>
        <w:pStyle w:val="ListParagraph"/>
        <w:numPr>
          <w:ilvl w:val="1"/>
          <w:numId w:val="23"/>
        </w:numPr>
        <w:tabs>
          <w:tab w:val="left" w:pos="2431"/>
        </w:tabs>
        <w:spacing w:after="0" w:line="240" w:lineRule="auto"/>
        <w:contextualSpacing w:val="0"/>
      </w:pPr>
      <w:r>
        <w:t>The capacity of the designation request cannot exceed the generator’s Network Resource Deliverability multiplied by this ratio.</w:t>
      </w:r>
    </w:p>
    <w:p w14:paraId="4AA03AC3" w14:textId="77777777" w:rsidR="00C57CD0" w:rsidRDefault="00C57CD0" w:rsidP="00C57CD0">
      <w:pPr>
        <w:tabs>
          <w:tab w:val="left" w:pos="2431"/>
        </w:tabs>
        <w:spacing w:after="0" w:line="240" w:lineRule="auto"/>
      </w:pPr>
    </w:p>
    <w:p w14:paraId="7CD5529C" w14:textId="34AA339A" w:rsidR="001024E5" w:rsidRPr="0084206C" w:rsidRDefault="001024E5" w:rsidP="009921A8">
      <w:pPr>
        <w:spacing w:after="120" w:line="240" w:lineRule="auto"/>
        <w:jc w:val="both"/>
        <w:textAlignment w:val="center"/>
        <w:rPr>
          <w:rFonts w:ascii="Calibri" w:eastAsia="Times New Roman" w:hAnsi="Calibri" w:cs="Times New Roman"/>
          <w:b/>
          <w:bCs/>
          <w:color w:val="000000" w:themeColor="text1"/>
        </w:rPr>
      </w:pPr>
      <w:r w:rsidRPr="0084206C">
        <w:rPr>
          <w:rFonts w:ascii="Calibri" w:eastAsia="Times New Roman" w:hAnsi="Calibri" w:cs="Times New Roman"/>
          <w:b/>
          <w:bCs/>
          <w:color w:val="000000" w:themeColor="text1"/>
        </w:rPr>
        <w:t xml:space="preserve">Q: If I enter the Expedited Designation study process, am I obligated to pay any Z2 </w:t>
      </w:r>
      <w:r w:rsidR="00A331FA">
        <w:rPr>
          <w:rFonts w:ascii="Calibri" w:eastAsia="Times New Roman" w:hAnsi="Calibri" w:cs="Times New Roman"/>
          <w:b/>
          <w:bCs/>
          <w:color w:val="000000" w:themeColor="text1"/>
        </w:rPr>
        <w:t>Credit Payment Obligations</w:t>
      </w:r>
      <w:r w:rsidRPr="0084206C">
        <w:rPr>
          <w:rFonts w:ascii="Calibri" w:eastAsia="Times New Roman" w:hAnsi="Calibri" w:cs="Times New Roman"/>
          <w:b/>
          <w:bCs/>
          <w:color w:val="000000" w:themeColor="text1"/>
        </w:rPr>
        <w:t xml:space="preserve"> that are identified?</w:t>
      </w:r>
    </w:p>
    <w:p w14:paraId="610ED5AE" w14:textId="7AA9407A" w:rsidR="001024E5" w:rsidRDefault="001024E5" w:rsidP="00A331FA">
      <w:pPr>
        <w:spacing w:after="0" w:line="240" w:lineRule="auto"/>
        <w:jc w:val="both"/>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 xml:space="preserve">A: </w:t>
      </w:r>
      <w:r w:rsidR="00B5142F">
        <w:rPr>
          <w:rFonts w:ascii="Calibri" w:eastAsia="Times New Roman" w:hAnsi="Calibri" w:cs="Times New Roman"/>
          <w:color w:val="000000" w:themeColor="text1"/>
        </w:rPr>
        <w:t xml:space="preserve">No. Following study completion and posting, the customer has the option of having SPP accept or refuse the request. The customer must sign and return an Election Form within 3 Business Days in order to have SPP accept the request; at this point, the customer is bound to the Z2 </w:t>
      </w:r>
      <w:r w:rsidR="00A331FA">
        <w:rPr>
          <w:rFonts w:ascii="Calibri" w:eastAsia="Times New Roman" w:hAnsi="Calibri" w:cs="Times New Roman"/>
          <w:color w:val="000000" w:themeColor="text1"/>
        </w:rPr>
        <w:t>Credit Payment Obligations</w:t>
      </w:r>
      <w:r w:rsidR="00B5142F">
        <w:rPr>
          <w:rFonts w:ascii="Calibri" w:eastAsia="Times New Roman" w:hAnsi="Calibri" w:cs="Times New Roman"/>
          <w:color w:val="000000" w:themeColor="text1"/>
        </w:rPr>
        <w:t xml:space="preserve">.  If the customer chooses </w:t>
      </w:r>
      <w:r w:rsidR="00B5142F" w:rsidRPr="00B5142F">
        <w:rPr>
          <w:rFonts w:ascii="Calibri" w:eastAsia="Times New Roman" w:hAnsi="Calibri" w:cs="Times New Roman"/>
          <w:color w:val="000000" w:themeColor="text1"/>
          <w:u w:val="single"/>
        </w:rPr>
        <w:t>not</w:t>
      </w:r>
      <w:r w:rsidR="00B5142F">
        <w:rPr>
          <w:rFonts w:ascii="Calibri" w:eastAsia="Times New Roman" w:hAnsi="Calibri" w:cs="Times New Roman"/>
          <w:color w:val="000000" w:themeColor="text1"/>
        </w:rPr>
        <w:t xml:space="preserve"> to return the Election Form, the request will be refused and the customer will only be required to pay study costs, not Z2 </w:t>
      </w:r>
      <w:r w:rsidR="00A331FA">
        <w:rPr>
          <w:rFonts w:ascii="Calibri" w:eastAsia="Times New Roman" w:hAnsi="Calibri" w:cs="Times New Roman"/>
          <w:color w:val="000000" w:themeColor="text1"/>
        </w:rPr>
        <w:t>Credit Payment Obligations</w:t>
      </w:r>
      <w:r w:rsidR="00B5142F">
        <w:rPr>
          <w:rFonts w:ascii="Calibri" w:eastAsia="Times New Roman" w:hAnsi="Calibri" w:cs="Times New Roman"/>
          <w:color w:val="000000" w:themeColor="text1"/>
        </w:rPr>
        <w:t>.</w:t>
      </w:r>
    </w:p>
    <w:p w14:paraId="5E5415B1" w14:textId="77777777" w:rsidR="001024E5" w:rsidRDefault="001024E5" w:rsidP="009921A8">
      <w:pPr>
        <w:spacing w:after="120" w:line="240" w:lineRule="auto"/>
        <w:jc w:val="both"/>
        <w:textAlignment w:val="center"/>
        <w:rPr>
          <w:rFonts w:ascii="Calibri" w:eastAsia="Times New Roman" w:hAnsi="Calibri" w:cs="Times New Roman"/>
          <w:color w:val="000000" w:themeColor="text1"/>
        </w:rPr>
      </w:pPr>
    </w:p>
    <w:p w14:paraId="331D854B" w14:textId="3C8FACF2" w:rsidR="001024E5" w:rsidRPr="0084206C" w:rsidRDefault="001024E5" w:rsidP="009921A8">
      <w:pPr>
        <w:spacing w:after="120" w:line="240" w:lineRule="auto"/>
        <w:jc w:val="both"/>
        <w:textAlignment w:val="center"/>
        <w:rPr>
          <w:rFonts w:ascii="Calibri" w:eastAsia="Times New Roman" w:hAnsi="Calibri" w:cs="Times New Roman"/>
          <w:b/>
          <w:bCs/>
          <w:color w:val="000000" w:themeColor="text1"/>
        </w:rPr>
      </w:pPr>
      <w:r w:rsidRPr="0084206C">
        <w:rPr>
          <w:rFonts w:ascii="Calibri" w:eastAsia="Times New Roman" w:hAnsi="Calibri" w:cs="Times New Roman"/>
          <w:b/>
          <w:bCs/>
          <w:color w:val="000000" w:themeColor="text1"/>
        </w:rPr>
        <w:t>Q: Is my request aggregated with other customer requests in an Expedited Designation study?</w:t>
      </w:r>
      <w:r w:rsidR="00B9151E" w:rsidRPr="0084206C">
        <w:rPr>
          <w:rFonts w:ascii="Calibri" w:eastAsia="Times New Roman" w:hAnsi="Calibri" w:cs="Times New Roman"/>
          <w:b/>
          <w:bCs/>
          <w:color w:val="000000" w:themeColor="text1"/>
        </w:rPr>
        <w:t xml:space="preserve"> Can I combine multiple </w:t>
      </w:r>
      <w:r w:rsidR="00E23940" w:rsidRPr="0084206C">
        <w:rPr>
          <w:rFonts w:ascii="Calibri" w:eastAsia="Times New Roman" w:hAnsi="Calibri" w:cs="Times New Roman"/>
          <w:b/>
          <w:bCs/>
          <w:color w:val="000000" w:themeColor="text1"/>
        </w:rPr>
        <w:t>service requests</w:t>
      </w:r>
      <w:r w:rsidR="00B9151E" w:rsidRPr="0084206C">
        <w:rPr>
          <w:rFonts w:ascii="Calibri" w:eastAsia="Times New Roman" w:hAnsi="Calibri" w:cs="Times New Roman"/>
          <w:b/>
          <w:bCs/>
          <w:color w:val="000000" w:themeColor="text1"/>
        </w:rPr>
        <w:t xml:space="preserve"> into one Expedited Designation study?</w:t>
      </w:r>
    </w:p>
    <w:p w14:paraId="2C89E811" w14:textId="2F4A39FB" w:rsidR="001024E5" w:rsidRDefault="001024E5" w:rsidP="009921A8">
      <w:pPr>
        <w:spacing w:after="120" w:line="240" w:lineRule="auto"/>
        <w:jc w:val="both"/>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A:</w:t>
      </w:r>
      <w:r w:rsidR="00B9151E">
        <w:rPr>
          <w:rFonts w:ascii="Calibri" w:eastAsia="Times New Roman" w:hAnsi="Calibri" w:cs="Times New Roman"/>
          <w:color w:val="000000" w:themeColor="text1"/>
        </w:rPr>
        <w:t xml:space="preserve"> No, each request is evaluated in an individual study in accordance with Tariff Section</w:t>
      </w:r>
      <w:r w:rsidR="00E23940">
        <w:rPr>
          <w:rFonts w:ascii="Calibri" w:eastAsia="Times New Roman" w:hAnsi="Calibri" w:cs="Times New Roman"/>
          <w:color w:val="000000" w:themeColor="text1"/>
        </w:rPr>
        <w:t xml:space="preserve"> 30.2.</w:t>
      </w:r>
    </w:p>
    <w:p w14:paraId="52CBAF98" w14:textId="77777777" w:rsidR="00E23940" w:rsidRDefault="00E23940" w:rsidP="009921A8">
      <w:pPr>
        <w:spacing w:after="120" w:line="240" w:lineRule="auto"/>
        <w:jc w:val="both"/>
        <w:textAlignment w:val="center"/>
        <w:rPr>
          <w:rFonts w:ascii="Calibri" w:eastAsia="Times New Roman" w:hAnsi="Calibri" w:cs="Times New Roman"/>
          <w:color w:val="000000" w:themeColor="text1"/>
        </w:rPr>
      </w:pPr>
    </w:p>
    <w:p w14:paraId="3298E58C" w14:textId="3C21BA8E" w:rsidR="00E23940" w:rsidRPr="009A3F51" w:rsidRDefault="00E23940" w:rsidP="009921A8">
      <w:pPr>
        <w:spacing w:after="120" w:line="240" w:lineRule="auto"/>
        <w:jc w:val="both"/>
        <w:textAlignment w:val="center"/>
        <w:rPr>
          <w:rFonts w:ascii="Calibri" w:eastAsia="Times New Roman" w:hAnsi="Calibri" w:cs="Times New Roman"/>
          <w:b/>
          <w:bCs/>
          <w:color w:val="000000" w:themeColor="text1"/>
        </w:rPr>
      </w:pPr>
      <w:r w:rsidRPr="009A3F51">
        <w:rPr>
          <w:rFonts w:ascii="Calibri" w:eastAsia="Times New Roman" w:hAnsi="Calibri" w:cs="Times New Roman"/>
          <w:b/>
          <w:bCs/>
          <w:color w:val="000000" w:themeColor="text1"/>
        </w:rPr>
        <w:t>Q: What steps do I need to take once my study is completed?</w:t>
      </w:r>
    </w:p>
    <w:p w14:paraId="6A196F8F" w14:textId="3123B607" w:rsidR="00E23940" w:rsidRDefault="00E23940" w:rsidP="009921A8">
      <w:pPr>
        <w:spacing w:after="120" w:line="240" w:lineRule="auto"/>
        <w:jc w:val="both"/>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 xml:space="preserve">A: </w:t>
      </w:r>
      <w:r w:rsidR="00C8620D">
        <w:rPr>
          <w:rFonts w:ascii="Calibri" w:eastAsia="Times New Roman" w:hAnsi="Calibri" w:cs="Times New Roman"/>
          <w:color w:val="000000" w:themeColor="text1"/>
        </w:rPr>
        <w:t xml:space="preserve">Once the study is complete and the report is posted, SPP will email the customer with a notification of the posting. At this point, the customer will need to review the report and decide whether or not they would like to move forward with the transmission service (and the Z2 Credit Payment Obligations).  If the customer does </w:t>
      </w:r>
      <w:r w:rsidR="00C8620D" w:rsidRPr="00C8620D">
        <w:rPr>
          <w:rFonts w:ascii="Calibri" w:eastAsia="Times New Roman" w:hAnsi="Calibri" w:cs="Times New Roman"/>
          <w:color w:val="000000" w:themeColor="text1"/>
          <w:u w:val="single"/>
        </w:rPr>
        <w:t>not</w:t>
      </w:r>
      <w:r w:rsidR="00C8620D">
        <w:rPr>
          <w:rFonts w:ascii="Calibri" w:eastAsia="Times New Roman" w:hAnsi="Calibri" w:cs="Times New Roman"/>
          <w:color w:val="000000" w:themeColor="text1"/>
        </w:rPr>
        <w:t xml:space="preserve"> wish to move forward with the transmission service, no further action is required.  If the customer wishes to move forward with the transmission service, they will need to sign and return the Expedited Designation Election Form within 3 Business Days. The Election Form will be attached to the study report. After receipt of the Election Form, SPP will accept the OASIS request, and the customer will need to confirm the OASIS request. SPP will </w:t>
      </w:r>
      <w:r w:rsidR="009A3F51">
        <w:rPr>
          <w:rFonts w:ascii="Calibri" w:eastAsia="Times New Roman" w:hAnsi="Calibri" w:cs="Times New Roman"/>
          <w:color w:val="000000" w:themeColor="text1"/>
        </w:rPr>
        <w:t xml:space="preserve">also </w:t>
      </w:r>
      <w:r w:rsidR="00C8620D">
        <w:rPr>
          <w:rFonts w:ascii="Calibri" w:eastAsia="Times New Roman" w:hAnsi="Calibri" w:cs="Times New Roman"/>
          <w:color w:val="000000" w:themeColor="text1"/>
        </w:rPr>
        <w:t xml:space="preserve">draft NITS Agreement updates and work with the customer on </w:t>
      </w:r>
      <w:r w:rsidR="009A3F51">
        <w:rPr>
          <w:rFonts w:ascii="Calibri" w:eastAsia="Times New Roman" w:hAnsi="Calibri" w:cs="Times New Roman"/>
          <w:color w:val="000000" w:themeColor="text1"/>
        </w:rPr>
        <w:t>execution and filing of the updated NITS Agreement.</w:t>
      </w:r>
    </w:p>
    <w:p w14:paraId="2BDC5000" w14:textId="77777777" w:rsidR="00E23940" w:rsidRDefault="00E23940" w:rsidP="009921A8">
      <w:pPr>
        <w:spacing w:after="120" w:line="240" w:lineRule="auto"/>
        <w:jc w:val="both"/>
        <w:textAlignment w:val="center"/>
        <w:rPr>
          <w:rFonts w:ascii="Calibri" w:eastAsia="Times New Roman" w:hAnsi="Calibri" w:cs="Times New Roman"/>
          <w:color w:val="000000" w:themeColor="text1"/>
        </w:rPr>
      </w:pPr>
    </w:p>
    <w:p w14:paraId="1A6F98F1" w14:textId="6213F100" w:rsidR="00E23940" w:rsidRPr="00C8620D" w:rsidRDefault="00E23940" w:rsidP="009921A8">
      <w:pPr>
        <w:spacing w:after="120" w:line="240" w:lineRule="auto"/>
        <w:jc w:val="both"/>
        <w:textAlignment w:val="center"/>
        <w:rPr>
          <w:rFonts w:ascii="Calibri" w:eastAsia="Times New Roman" w:hAnsi="Calibri" w:cs="Times New Roman"/>
          <w:b/>
          <w:bCs/>
          <w:color w:val="000000" w:themeColor="text1"/>
        </w:rPr>
      </w:pPr>
      <w:r w:rsidRPr="00C8620D">
        <w:rPr>
          <w:rFonts w:ascii="Calibri" w:eastAsia="Times New Roman" w:hAnsi="Calibri" w:cs="Times New Roman"/>
          <w:b/>
          <w:bCs/>
          <w:color w:val="000000" w:themeColor="text1"/>
        </w:rPr>
        <w:t>Q: Are the results of my study posted publicly, or shared privately?</w:t>
      </w:r>
    </w:p>
    <w:p w14:paraId="630A3C1A" w14:textId="77126EEF" w:rsidR="00E23940" w:rsidRDefault="00E23940" w:rsidP="009921A8">
      <w:pPr>
        <w:spacing w:after="120" w:line="240" w:lineRule="auto"/>
        <w:jc w:val="both"/>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 xml:space="preserve">A: </w:t>
      </w:r>
      <w:r w:rsidR="00C8620D">
        <w:rPr>
          <w:rFonts w:ascii="Calibri" w:eastAsia="Times New Roman" w:hAnsi="Calibri" w:cs="Times New Roman"/>
          <w:color w:val="000000" w:themeColor="text1"/>
        </w:rPr>
        <w:t>The study report</w:t>
      </w:r>
      <w:r w:rsidR="00966F9C">
        <w:rPr>
          <w:rFonts w:ascii="Calibri" w:eastAsia="Times New Roman" w:hAnsi="Calibri" w:cs="Times New Roman"/>
          <w:color w:val="000000" w:themeColor="text1"/>
        </w:rPr>
        <w:t xml:space="preserve"> will be</w:t>
      </w:r>
      <w:r w:rsidR="00C8620D">
        <w:rPr>
          <w:rFonts w:ascii="Calibri" w:eastAsia="Times New Roman" w:hAnsi="Calibri" w:cs="Times New Roman"/>
          <w:color w:val="000000" w:themeColor="text1"/>
        </w:rPr>
        <w:t xml:space="preserve"> posted publicly</w:t>
      </w:r>
      <w:r w:rsidR="00966F9C">
        <w:rPr>
          <w:rFonts w:ascii="Calibri" w:eastAsia="Times New Roman" w:hAnsi="Calibri" w:cs="Times New Roman"/>
          <w:color w:val="000000" w:themeColor="text1"/>
        </w:rPr>
        <w:t xml:space="preserve"> on the </w:t>
      </w:r>
      <w:hyperlink r:id="rId10" w:history="1">
        <w:r w:rsidR="00966F9C" w:rsidRPr="00966F9C">
          <w:rPr>
            <w:rStyle w:val="Hyperlink"/>
            <w:rFonts w:ascii="Calibri" w:eastAsia="Times New Roman" w:hAnsi="Calibri" w:cs="Times New Roman"/>
          </w:rPr>
          <w:t>Transmission Service Studies posting</w:t>
        </w:r>
      </w:hyperlink>
      <w:r w:rsidR="00966F9C">
        <w:rPr>
          <w:rFonts w:ascii="Calibri" w:eastAsia="Times New Roman" w:hAnsi="Calibri" w:cs="Times New Roman"/>
          <w:color w:val="000000" w:themeColor="text1"/>
        </w:rPr>
        <w:t xml:space="preserve"> pages</w:t>
      </w:r>
      <w:r w:rsidR="00C8620D">
        <w:rPr>
          <w:rFonts w:ascii="Calibri" w:eastAsia="Times New Roman" w:hAnsi="Calibri" w:cs="Times New Roman"/>
          <w:color w:val="000000" w:themeColor="text1"/>
        </w:rPr>
        <w:t xml:space="preserve">.  SPP will send notification of the posting only to the customer.  The study report will include information such as the customer name, OASIS request start/stop dates, OASIS request MW, Point of Receipt, Point of Delivery, and Z2 </w:t>
      </w:r>
      <w:r w:rsidR="00A331FA">
        <w:rPr>
          <w:rFonts w:ascii="Calibri" w:eastAsia="Times New Roman" w:hAnsi="Calibri" w:cs="Times New Roman"/>
          <w:color w:val="000000" w:themeColor="text1"/>
        </w:rPr>
        <w:t>Credit Payment Obligations</w:t>
      </w:r>
      <w:r w:rsidR="00C8620D">
        <w:rPr>
          <w:rFonts w:ascii="Calibri" w:eastAsia="Times New Roman" w:hAnsi="Calibri" w:cs="Times New Roman"/>
          <w:color w:val="000000" w:themeColor="text1"/>
        </w:rPr>
        <w:t xml:space="preserve"> associated with the request. The study report will </w:t>
      </w:r>
      <w:r w:rsidR="00C8620D" w:rsidRPr="00C8620D">
        <w:rPr>
          <w:rFonts w:ascii="Calibri" w:eastAsia="Times New Roman" w:hAnsi="Calibri" w:cs="Times New Roman"/>
          <w:color w:val="000000" w:themeColor="text1"/>
          <w:u w:val="single"/>
        </w:rPr>
        <w:t>not</w:t>
      </w:r>
      <w:r w:rsidR="00C8620D">
        <w:rPr>
          <w:rFonts w:ascii="Calibri" w:eastAsia="Times New Roman" w:hAnsi="Calibri" w:cs="Times New Roman"/>
          <w:color w:val="000000" w:themeColor="text1"/>
        </w:rPr>
        <w:t xml:space="preserve"> include the source or sink of the request.</w:t>
      </w:r>
    </w:p>
    <w:p w14:paraId="58207B5F" w14:textId="77777777" w:rsidR="00E23940" w:rsidRDefault="00E23940" w:rsidP="009921A8">
      <w:pPr>
        <w:spacing w:after="120" w:line="240" w:lineRule="auto"/>
        <w:jc w:val="both"/>
        <w:textAlignment w:val="center"/>
        <w:rPr>
          <w:rFonts w:ascii="Calibri" w:eastAsia="Times New Roman" w:hAnsi="Calibri" w:cs="Times New Roman"/>
          <w:color w:val="000000" w:themeColor="text1"/>
        </w:rPr>
      </w:pPr>
    </w:p>
    <w:p w14:paraId="6DE06429" w14:textId="30D36017" w:rsidR="00E23940" w:rsidRPr="00E23940" w:rsidRDefault="00E23940" w:rsidP="009921A8">
      <w:pPr>
        <w:spacing w:after="120" w:line="240" w:lineRule="auto"/>
        <w:jc w:val="both"/>
        <w:textAlignment w:val="center"/>
        <w:rPr>
          <w:rFonts w:ascii="Calibri" w:eastAsia="Times New Roman" w:hAnsi="Calibri" w:cs="Times New Roman"/>
          <w:b/>
          <w:bCs/>
          <w:color w:val="000000" w:themeColor="text1"/>
        </w:rPr>
      </w:pPr>
      <w:r w:rsidRPr="00E23940">
        <w:rPr>
          <w:rFonts w:ascii="Calibri" w:eastAsia="Times New Roman" w:hAnsi="Calibri" w:cs="Times New Roman"/>
          <w:b/>
          <w:bCs/>
          <w:color w:val="000000" w:themeColor="text1"/>
        </w:rPr>
        <w:t>Q: Where can I find more information about the Expedited Designation process?</w:t>
      </w:r>
    </w:p>
    <w:p w14:paraId="5A4556E5" w14:textId="3918B212" w:rsidR="00E23940" w:rsidRDefault="00E23940" w:rsidP="009921A8">
      <w:pPr>
        <w:spacing w:after="120" w:line="240" w:lineRule="auto"/>
        <w:jc w:val="both"/>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 xml:space="preserve">A: Tariff Sections 30.2 and 30.2.2 are the main parts of the Tariff addressing the Expedited Designation process. Additional information can </w:t>
      </w:r>
      <w:r w:rsidR="00966F9C">
        <w:rPr>
          <w:rFonts w:ascii="Calibri" w:eastAsia="Times New Roman" w:hAnsi="Calibri" w:cs="Times New Roman"/>
          <w:color w:val="000000" w:themeColor="text1"/>
        </w:rPr>
        <w:t xml:space="preserve">also </w:t>
      </w:r>
      <w:r>
        <w:rPr>
          <w:rFonts w:ascii="Calibri" w:eastAsia="Times New Roman" w:hAnsi="Calibri" w:cs="Times New Roman"/>
          <w:color w:val="000000" w:themeColor="text1"/>
        </w:rPr>
        <w:t xml:space="preserve">be found in </w:t>
      </w:r>
      <w:r w:rsidR="00966F9C">
        <w:rPr>
          <w:rFonts w:ascii="Calibri" w:eastAsia="Times New Roman" w:hAnsi="Calibri" w:cs="Times New Roman"/>
          <w:color w:val="000000" w:themeColor="text1"/>
        </w:rPr>
        <w:t xml:space="preserve">Tariff </w:t>
      </w:r>
      <w:r>
        <w:rPr>
          <w:rFonts w:ascii="Calibri" w:eastAsia="Times New Roman" w:hAnsi="Calibri" w:cs="Times New Roman"/>
          <w:color w:val="000000" w:themeColor="text1"/>
        </w:rPr>
        <w:t>Sections 29.2, 32, 32.4, Attachment P, and Attachment Z1 Section I.</w:t>
      </w:r>
    </w:p>
    <w:p w14:paraId="5E0A5840" w14:textId="3416A8E0" w:rsidR="00E23940" w:rsidRDefault="00E23940" w:rsidP="009921A8">
      <w:pPr>
        <w:spacing w:after="120" w:line="240" w:lineRule="auto"/>
        <w:jc w:val="both"/>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 xml:space="preserve">The Expedited Designation Study </w:t>
      </w:r>
      <w:r w:rsidR="006A56C8">
        <w:rPr>
          <w:rFonts w:ascii="Calibri" w:eastAsia="Times New Roman" w:hAnsi="Calibri" w:cs="Times New Roman"/>
          <w:color w:val="000000" w:themeColor="text1"/>
        </w:rPr>
        <w:t>P</w:t>
      </w:r>
      <w:r>
        <w:rPr>
          <w:rFonts w:ascii="Calibri" w:eastAsia="Times New Roman" w:hAnsi="Calibri" w:cs="Times New Roman"/>
          <w:color w:val="000000" w:themeColor="text1"/>
        </w:rPr>
        <w:t xml:space="preserve">rocess </w:t>
      </w:r>
      <w:r w:rsidR="006A56C8">
        <w:rPr>
          <w:rFonts w:ascii="Calibri" w:eastAsia="Times New Roman" w:hAnsi="Calibri" w:cs="Times New Roman"/>
          <w:color w:val="000000" w:themeColor="text1"/>
        </w:rPr>
        <w:t>d</w:t>
      </w:r>
      <w:r>
        <w:rPr>
          <w:rFonts w:ascii="Calibri" w:eastAsia="Times New Roman" w:hAnsi="Calibri" w:cs="Times New Roman"/>
          <w:color w:val="000000" w:themeColor="text1"/>
        </w:rPr>
        <w:t>ocument can be found</w:t>
      </w:r>
      <w:r w:rsidR="006A56C8">
        <w:rPr>
          <w:rFonts w:ascii="Calibri" w:eastAsia="Times New Roman" w:hAnsi="Calibri" w:cs="Times New Roman"/>
          <w:color w:val="000000" w:themeColor="text1"/>
        </w:rPr>
        <w:t xml:space="preserve"> on</w:t>
      </w:r>
      <w:r>
        <w:rPr>
          <w:rFonts w:ascii="Calibri" w:eastAsia="Times New Roman" w:hAnsi="Calibri" w:cs="Times New Roman"/>
          <w:color w:val="000000" w:themeColor="text1"/>
        </w:rPr>
        <w:t xml:space="preserve"> </w:t>
      </w:r>
      <w:r w:rsidR="006A56C8">
        <w:rPr>
          <w:rFonts w:ascii="Calibri" w:eastAsia="Times New Roman" w:hAnsi="Calibri" w:cs="Times New Roman"/>
          <w:color w:val="000000" w:themeColor="text1"/>
        </w:rPr>
        <w:t xml:space="preserve">the </w:t>
      </w:r>
      <w:hyperlink r:id="rId11" w:history="1">
        <w:r w:rsidR="006A56C8" w:rsidRPr="006A56C8">
          <w:rPr>
            <w:rStyle w:val="Hyperlink"/>
            <w:rFonts w:ascii="Calibri" w:eastAsia="Times New Roman" w:hAnsi="Calibri" w:cs="Times New Roman"/>
          </w:rPr>
          <w:t>Transmission Service studies posting page.</w:t>
        </w:r>
      </w:hyperlink>
    </w:p>
    <w:p w14:paraId="1BAE8047" w14:textId="77777777" w:rsidR="00E23940" w:rsidRDefault="00E23940" w:rsidP="009921A8">
      <w:pPr>
        <w:spacing w:after="120" w:line="240" w:lineRule="auto"/>
        <w:jc w:val="both"/>
        <w:textAlignment w:val="center"/>
        <w:rPr>
          <w:rFonts w:ascii="Calibri" w:eastAsia="Times New Roman" w:hAnsi="Calibri" w:cs="Times New Roman"/>
          <w:color w:val="000000" w:themeColor="text1"/>
        </w:rPr>
      </w:pPr>
    </w:p>
    <w:p w14:paraId="7C741C10" w14:textId="77777777" w:rsidR="00B9151E" w:rsidRDefault="00B9151E" w:rsidP="009921A8">
      <w:pPr>
        <w:spacing w:after="120" w:line="240" w:lineRule="auto"/>
        <w:jc w:val="both"/>
        <w:textAlignment w:val="center"/>
        <w:rPr>
          <w:rFonts w:ascii="Calibri" w:eastAsia="Times New Roman" w:hAnsi="Calibri" w:cs="Times New Roman"/>
          <w:color w:val="000000" w:themeColor="text1"/>
        </w:rPr>
      </w:pPr>
    </w:p>
    <w:p w14:paraId="37E2A4B6" w14:textId="77777777" w:rsidR="009921A8" w:rsidRPr="009921A8" w:rsidRDefault="009921A8" w:rsidP="009921A8">
      <w:pPr>
        <w:spacing w:after="120" w:line="240" w:lineRule="auto"/>
        <w:jc w:val="both"/>
        <w:textAlignment w:val="center"/>
        <w:rPr>
          <w:rFonts w:ascii="Calibri" w:eastAsia="Times New Roman" w:hAnsi="Calibri" w:cs="Times New Roman"/>
          <w:color w:val="000000" w:themeColor="text1"/>
        </w:rPr>
      </w:pPr>
    </w:p>
    <w:p w14:paraId="2EACBDE4" w14:textId="3B3E0B70" w:rsidR="000342E0" w:rsidRPr="00903F60" w:rsidRDefault="000342E0" w:rsidP="00681664">
      <w:pPr>
        <w:spacing w:after="120"/>
        <w:jc w:val="both"/>
      </w:pPr>
    </w:p>
    <w:sectPr w:rsidR="000342E0" w:rsidRPr="00903F60" w:rsidSect="00331713">
      <w:footerReference w:type="even" r:id="rId12"/>
      <w:footerReference w:type="defaul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2B345" w14:textId="77777777" w:rsidR="0022410C" w:rsidRDefault="0022410C" w:rsidP="002A0A97">
      <w:pPr>
        <w:spacing w:after="0" w:line="240" w:lineRule="auto"/>
      </w:pPr>
      <w:r>
        <w:separator/>
      </w:r>
    </w:p>
  </w:endnote>
  <w:endnote w:type="continuationSeparator" w:id="0">
    <w:p w14:paraId="292EAB02" w14:textId="77777777" w:rsidR="0022410C" w:rsidRDefault="0022410C" w:rsidP="002A0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8A5F3" w14:textId="6FFEDFF9" w:rsidR="002A0A97" w:rsidRDefault="002A0A97">
    <w:pPr>
      <w:pStyle w:val="Footer"/>
    </w:pPr>
    <w:r>
      <w:rPr>
        <w:noProof/>
      </w:rPr>
      <mc:AlternateContent>
        <mc:Choice Requires="wps">
          <w:drawing>
            <wp:anchor distT="0" distB="0" distL="0" distR="0" simplePos="0" relativeHeight="251659264" behindDoc="0" locked="0" layoutInCell="1" allowOverlap="1" wp14:anchorId="1FE352D6" wp14:editId="222D644D">
              <wp:simplePos x="635" y="635"/>
              <wp:positionH relativeFrom="page">
                <wp:align>left</wp:align>
              </wp:positionH>
              <wp:positionV relativeFrom="page">
                <wp:align>bottom</wp:align>
              </wp:positionV>
              <wp:extent cx="1144270" cy="368935"/>
              <wp:effectExtent l="0" t="0" r="17780" b="0"/>
              <wp:wrapNone/>
              <wp:docPr id="2135171793" name="Text Box 2" descr="SPP Internal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4270" cy="368935"/>
                      </a:xfrm>
                      <a:prstGeom prst="rect">
                        <a:avLst/>
                      </a:prstGeom>
                      <a:noFill/>
                      <a:ln>
                        <a:noFill/>
                      </a:ln>
                    </wps:spPr>
                    <wps:txbx>
                      <w:txbxContent>
                        <w:p w14:paraId="4AFD73D2" w14:textId="7851195A" w:rsidR="002A0A97" w:rsidRPr="002A0A97" w:rsidRDefault="002A0A97" w:rsidP="002A0A97">
                          <w:pPr>
                            <w:spacing w:after="0"/>
                            <w:rPr>
                              <w:rFonts w:ascii="Calibri" w:eastAsia="Calibri" w:hAnsi="Calibri" w:cs="Calibri"/>
                              <w:noProof/>
                              <w:color w:val="000000"/>
                              <w:sz w:val="20"/>
                              <w:szCs w:val="20"/>
                            </w:rPr>
                          </w:pPr>
                          <w:r w:rsidRPr="002A0A97">
                            <w:rPr>
                              <w:rFonts w:ascii="Calibri" w:eastAsia="Calibri" w:hAnsi="Calibri" w:cs="Calibri"/>
                              <w:noProof/>
                              <w:color w:val="000000"/>
                              <w:sz w:val="20"/>
                              <w:szCs w:val="20"/>
                            </w:rPr>
                            <w:t>SPP Internal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E352D6" id="_x0000_t202" coordsize="21600,21600" o:spt="202" path="m,l,21600r21600,l21600,xe">
              <v:stroke joinstyle="miter"/>
              <v:path gradientshapeok="t" o:connecttype="rect"/>
            </v:shapetype>
            <v:shape id="Text Box 2" o:spid="_x0000_s1026" type="#_x0000_t202" alt="SPP Internal Only" style="position:absolute;margin-left:0;margin-top:0;width:90.1pt;height:29.0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oC/DwIAABsEAAAOAAAAZHJzL2Uyb0RvYy54bWysU8Fu2zAMvQ/YPwi6L3bSpGuNOEXWIsOA&#10;oC2QDj0rshQbkERBUmJnXz9KdpKt26noRaZJ6pF8fJrfdVqRg3C+AVPS8SinRBgOVWN2Jf35svpy&#10;Q4kPzFRMgRElPQpP7xafP81bW4gJ1KAq4QiCGF+0tqR1CLbIMs9roZkfgRUGgxKcZgF/3S6rHGsR&#10;XatskufXWQuusg648B69D32QLhK+lIKHJym9CESVFHsL6XTp3MYzW8xZsXPM1g0f2mDv6EKzxmDR&#10;M9QDC4zsXfMPlG64Aw8yjDjoDKRsuEgz4DTj/M00m5pZkWZBcrw90+Q/DpY/Hjb22ZHQfYMOFxgJ&#10;aa0vPDrjPJ10On6xU4JxpPB4pk10gfB4aTydTr5iiGPs6vrm9moWYbLLbet8+C5Ak2iU1OFaElvs&#10;sPahTz2lxGIGVo1SaTXK/OVAzOjJLi1GK3Tbbuh7C9URx3HQb9pbvmqw5pr58MwcrhbbRLmGJzyk&#10;grakMFiU1OB+/c8f85FxjFLSolRKalDLlKgfBjcxmU3zPEor/aHhTsY2GePbfBbjZq/vAVU4xgdh&#10;eTJjclAnUzrQr6jmZayGIWY41izp9mTeh164+Bq4WC5TEqrIsrA2G8sjdCQrMvnSvTJnB7oDLuoR&#10;TmJixRvW+9x409vlPiD3aSWR2J7NgW9UYFrq8FqixP/8T1mXN734DQAA//8DAFBLAwQUAAYACAAA&#10;ACEAaRDrl9kAAAAEAQAADwAAAGRycy9kb3ducmV2LnhtbEyPQUvDQBCF70L/wzJCb3bTQEOI2ZRi&#10;VbwaBT1ustNsaHYmZrdt/Pduvehl4PEe731Tbmc3iDNOvmdSsF4lIJBaNj11Ct7fnu5yED5oMnpg&#10;QgXf6GFbLW5KXRi+0Cue69CJWEK+0ApsCGMhpW8tOu1XPCJF78CT0yHKqZNm0pdY7gaZJkkmne4p&#10;Llg94oPF9lifnIJs/7yz40f2+XVI/Ytv+BhqflRqeTvv7kEEnMNfGK74ER2qyNTwiYwXg4L4SPi9&#10;Vy9PUhCNgk2+BlmV8j989QMAAP//AwBQSwECLQAUAAYACAAAACEAtoM4kv4AAADhAQAAEwAAAAAA&#10;AAAAAAAAAAAAAAAAW0NvbnRlbnRfVHlwZXNdLnhtbFBLAQItABQABgAIAAAAIQA4/SH/1gAAAJQB&#10;AAALAAAAAAAAAAAAAAAAAC8BAABfcmVscy8ucmVsc1BLAQItABQABgAIAAAAIQBsqoC/DwIAABsE&#10;AAAOAAAAAAAAAAAAAAAAAC4CAABkcnMvZTJvRG9jLnhtbFBLAQItABQABgAIAAAAIQBpEOuX2QAA&#10;AAQBAAAPAAAAAAAAAAAAAAAAAGkEAABkcnMvZG93bnJldi54bWxQSwUGAAAAAAQABADzAAAAbwUA&#10;AAAA&#10;" filled="f" stroked="f">
              <v:textbox style="mso-fit-shape-to-text:t" inset="20pt,0,0,15pt">
                <w:txbxContent>
                  <w:p w14:paraId="4AFD73D2" w14:textId="7851195A" w:rsidR="002A0A97" w:rsidRPr="002A0A97" w:rsidRDefault="002A0A97" w:rsidP="002A0A97">
                    <w:pPr>
                      <w:spacing w:after="0"/>
                      <w:rPr>
                        <w:rFonts w:ascii="Calibri" w:eastAsia="Calibri" w:hAnsi="Calibri" w:cs="Calibri"/>
                        <w:noProof/>
                        <w:color w:val="000000"/>
                        <w:sz w:val="20"/>
                        <w:szCs w:val="20"/>
                      </w:rPr>
                    </w:pPr>
                    <w:r w:rsidRPr="002A0A97">
                      <w:rPr>
                        <w:rFonts w:ascii="Calibri" w:eastAsia="Calibri" w:hAnsi="Calibri" w:cs="Calibri"/>
                        <w:noProof/>
                        <w:color w:val="000000"/>
                        <w:sz w:val="20"/>
                        <w:szCs w:val="20"/>
                      </w:rPr>
                      <w:t>SPP Internal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DD606" w14:textId="05E3DBBB" w:rsidR="002A0A97" w:rsidRDefault="002A0A97">
    <w:pPr>
      <w:pStyle w:val="Footer"/>
    </w:pPr>
    <w:r>
      <w:rPr>
        <w:noProof/>
      </w:rPr>
      <mc:AlternateContent>
        <mc:Choice Requires="wps">
          <w:drawing>
            <wp:anchor distT="0" distB="0" distL="0" distR="0" simplePos="0" relativeHeight="251660288" behindDoc="0" locked="0" layoutInCell="1" allowOverlap="1" wp14:anchorId="11714424" wp14:editId="5EBED7A0">
              <wp:simplePos x="914400" y="9429750"/>
              <wp:positionH relativeFrom="page">
                <wp:align>left</wp:align>
              </wp:positionH>
              <wp:positionV relativeFrom="page">
                <wp:align>bottom</wp:align>
              </wp:positionV>
              <wp:extent cx="1144270" cy="368935"/>
              <wp:effectExtent l="0" t="0" r="17780" b="0"/>
              <wp:wrapNone/>
              <wp:docPr id="1396009788" name="Text Box 3" descr="SPP Internal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4270" cy="368935"/>
                      </a:xfrm>
                      <a:prstGeom prst="rect">
                        <a:avLst/>
                      </a:prstGeom>
                      <a:noFill/>
                      <a:ln>
                        <a:noFill/>
                      </a:ln>
                    </wps:spPr>
                    <wps:txbx>
                      <w:txbxContent>
                        <w:p w14:paraId="0C82D219" w14:textId="11C2B764" w:rsidR="002A0A97" w:rsidRPr="002A0A97" w:rsidRDefault="002A0A97" w:rsidP="002A0A97">
                          <w:pPr>
                            <w:spacing w:after="0"/>
                            <w:rPr>
                              <w:rFonts w:ascii="Calibri" w:eastAsia="Calibri" w:hAnsi="Calibri" w:cs="Calibri"/>
                              <w:noProof/>
                              <w:color w:val="000000"/>
                              <w:sz w:val="20"/>
                              <w:szCs w:val="20"/>
                            </w:rPr>
                          </w:pPr>
                          <w:r w:rsidRPr="002A0A97">
                            <w:rPr>
                              <w:rFonts w:ascii="Calibri" w:eastAsia="Calibri" w:hAnsi="Calibri" w:cs="Calibri"/>
                              <w:noProof/>
                              <w:color w:val="000000"/>
                              <w:sz w:val="20"/>
                              <w:szCs w:val="20"/>
                            </w:rPr>
                            <w:t>SPP Internal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714424" id="_x0000_t202" coordsize="21600,21600" o:spt="202" path="m,l,21600r21600,l21600,xe">
              <v:stroke joinstyle="miter"/>
              <v:path gradientshapeok="t" o:connecttype="rect"/>
            </v:shapetype>
            <v:shape id="Text Box 3" o:spid="_x0000_s1027" type="#_x0000_t202" alt="SPP Internal Only" style="position:absolute;margin-left:0;margin-top:0;width:90.1pt;height:29.0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4wdEgIAACIEAAAOAAAAZHJzL2Uyb0RvYy54bWysU99v2jAQfp+0/8Hy+0ig0LURoWKtmCah&#10;thKd+mwcm0SyfZZtSNhfv7MToO32NO3Fudyd78f3fZ7fdVqRg3C+AVPS8SinRBgOVWN2Jf35svpy&#10;Q4kPzFRMgRElPQpP7xafP81bW4gJ1KAq4QgWMb5obUnrEGyRZZ7XQjM/AisMBiU4zQL+ul1WOdZi&#10;da2ySZ5fZy24yjrgwnv0PvRBukj1pRQ8PEnpRSCqpDhbSKdL5zae2WLOip1jtm74MAb7hyk0aww2&#10;PZd6YIGRvWv+KKUb7sCDDCMOOgMpGy7SDrjNOP+wzaZmVqRdEBxvzzD5/1eWPx429tmR0H2DDgmM&#10;gLTWFx6dcZ9OOh2/OCnBOEJ4PMMmukB4vDSeTidfMcQxdnV9c3s1i2Wyy23rfPguQJNolNQhLQkt&#10;dlj70KeeUmIzA6tGqUSNMu8cWDN6ssuI0QrdtiNN9Wb8LVRH3MpBT7i3fNVg6zXz4Zk5ZBinRdWG&#10;JzykgrakMFiU1OB+/c0f8xF4jFLSomJKalDSlKgfBgmZzKZ5HhWW/tBwJ2ObjPFtPotxs9f3gGIc&#10;47uwPJkxOaiTKR3oVxT1MnbDEDMce5Z0ezLvQ69ffBRcLJcpCcVkWVibjeWxdMQsAvrSvTJnB9QD&#10;8vUIJ02x4gP4fW686e1yH5CCxEzEt0dzgB2FmLgdHk1U+tv/lHV52ovfAAAA//8DAFBLAwQUAAYA&#10;CAAAACEAaRDrl9kAAAAEAQAADwAAAGRycy9kb3ducmV2LnhtbEyPQUvDQBCF70L/wzJCb3bTQEOI&#10;2ZRiVbwaBT1ustNsaHYmZrdt/Pduvehl4PEe731Tbmc3iDNOvmdSsF4lIJBaNj11Ct7fnu5yED5o&#10;MnpgQgXf6GFbLW5KXRi+0Cue69CJWEK+0ApsCGMhpW8tOu1XPCJF78CT0yHKqZNm0pdY7gaZJkkm&#10;ne4pLlg94oPF9lifnIJs/7yz40f2+XVI/Ytv+BhqflRqeTvv7kEEnMNfGK74ER2qyNTwiYwXg4L4&#10;SPi9Vy9PUhCNgk2+BlmV8j989QMAAP//AwBQSwECLQAUAAYACAAAACEAtoM4kv4AAADhAQAAEwAA&#10;AAAAAAAAAAAAAAAAAAAAW0NvbnRlbnRfVHlwZXNdLnhtbFBLAQItABQABgAIAAAAIQA4/SH/1gAA&#10;AJQBAAALAAAAAAAAAAAAAAAAAC8BAABfcmVscy8ucmVsc1BLAQItABQABgAIAAAAIQDxG4wdEgIA&#10;ACIEAAAOAAAAAAAAAAAAAAAAAC4CAABkcnMvZTJvRG9jLnhtbFBLAQItABQABgAIAAAAIQBpEOuX&#10;2QAAAAQBAAAPAAAAAAAAAAAAAAAAAGwEAABkcnMvZG93bnJldi54bWxQSwUGAAAAAAQABADzAAAA&#10;cgUAAAAA&#10;" filled="f" stroked="f">
              <v:textbox style="mso-fit-shape-to-text:t" inset="20pt,0,0,15pt">
                <w:txbxContent>
                  <w:p w14:paraId="0C82D219" w14:textId="11C2B764" w:rsidR="002A0A97" w:rsidRPr="002A0A97" w:rsidRDefault="002A0A97" w:rsidP="002A0A97">
                    <w:pPr>
                      <w:spacing w:after="0"/>
                      <w:rPr>
                        <w:rFonts w:ascii="Calibri" w:eastAsia="Calibri" w:hAnsi="Calibri" w:cs="Calibri"/>
                        <w:noProof/>
                        <w:color w:val="000000"/>
                        <w:sz w:val="20"/>
                        <w:szCs w:val="20"/>
                      </w:rPr>
                    </w:pPr>
                    <w:r w:rsidRPr="002A0A97">
                      <w:rPr>
                        <w:rFonts w:ascii="Calibri" w:eastAsia="Calibri" w:hAnsi="Calibri" w:cs="Calibri"/>
                        <w:noProof/>
                        <w:color w:val="000000"/>
                        <w:sz w:val="20"/>
                        <w:szCs w:val="20"/>
                      </w:rPr>
                      <w:t>SPP Internal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6B7F2" w14:textId="6E4B59AD" w:rsidR="002A0A97" w:rsidRDefault="002A0A97">
    <w:pPr>
      <w:pStyle w:val="Footer"/>
    </w:pPr>
    <w:r>
      <w:rPr>
        <w:noProof/>
      </w:rPr>
      <mc:AlternateContent>
        <mc:Choice Requires="wps">
          <w:drawing>
            <wp:anchor distT="0" distB="0" distL="0" distR="0" simplePos="0" relativeHeight="251658240" behindDoc="0" locked="0" layoutInCell="1" allowOverlap="1" wp14:anchorId="5BBC250D" wp14:editId="01DE2D02">
              <wp:simplePos x="635" y="635"/>
              <wp:positionH relativeFrom="page">
                <wp:align>left</wp:align>
              </wp:positionH>
              <wp:positionV relativeFrom="page">
                <wp:align>bottom</wp:align>
              </wp:positionV>
              <wp:extent cx="1144270" cy="368935"/>
              <wp:effectExtent l="0" t="0" r="17780" b="0"/>
              <wp:wrapNone/>
              <wp:docPr id="559405422" name="Text Box 1" descr="SPP Internal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4270" cy="368935"/>
                      </a:xfrm>
                      <a:prstGeom prst="rect">
                        <a:avLst/>
                      </a:prstGeom>
                      <a:noFill/>
                      <a:ln>
                        <a:noFill/>
                      </a:ln>
                    </wps:spPr>
                    <wps:txbx>
                      <w:txbxContent>
                        <w:p w14:paraId="1B2A228C" w14:textId="3A7C21BD" w:rsidR="002A0A97" w:rsidRPr="002A0A97" w:rsidRDefault="002A0A97" w:rsidP="002A0A97">
                          <w:pPr>
                            <w:spacing w:after="0"/>
                            <w:rPr>
                              <w:rFonts w:ascii="Calibri" w:eastAsia="Calibri" w:hAnsi="Calibri" w:cs="Calibri"/>
                              <w:noProof/>
                              <w:color w:val="000000"/>
                              <w:sz w:val="20"/>
                              <w:szCs w:val="20"/>
                            </w:rPr>
                          </w:pPr>
                          <w:r w:rsidRPr="002A0A97">
                            <w:rPr>
                              <w:rFonts w:ascii="Calibri" w:eastAsia="Calibri" w:hAnsi="Calibri" w:cs="Calibri"/>
                              <w:noProof/>
                              <w:color w:val="000000"/>
                              <w:sz w:val="20"/>
                              <w:szCs w:val="20"/>
                            </w:rPr>
                            <w:t>SPP Internal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BC250D" id="_x0000_t202" coordsize="21600,21600" o:spt="202" path="m,l,21600r21600,l21600,xe">
              <v:stroke joinstyle="miter"/>
              <v:path gradientshapeok="t" o:connecttype="rect"/>
            </v:shapetype>
            <v:shape id="Text Box 1" o:spid="_x0000_s1028" type="#_x0000_t202" alt="SPP Internal Only" style="position:absolute;margin-left:0;margin-top:0;width:90.1pt;height:29.0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9fFAIAACIEAAAOAAAAZHJzL2Uyb0RvYy54bWysU99v2jAQfp+0/8Hy+0ig0LURoWKtmCah&#10;thKd+mwcm0SyfZZtSNhfv7NDYOv2VPXFudyd78f3fZ7fdVqRg3C+AVPS8SinRBgOVWN2Jf35svpy&#10;Q4kPzFRMgRElPQpP7xafP81bW4gJ1KAq4QgWMb5obUnrEGyRZZ7XQjM/AisMBiU4zQL+ul1WOdZi&#10;da2ySZ5fZy24yjrgwnv0PvRBukj1pRQ8PEnpRSCqpDhbSKdL5zae2WLOip1jtm74aQz2jik0aww2&#10;PZd6YIGRvWv+KaUb7sCDDCMOOgMpGy7SDrjNOH+zzaZmVqRdEBxvzzD5jyvLHw8b++xI6L5BhwRG&#10;QFrrC4/OuE8nnY5fnJRgHCE8nmETXSA8XhpPp5OvGOIYu7q+ub2axTLZ5bZ1PnwXoEk0SuqQloQW&#10;O6x96FOHlNjMwKpRKlGjzF8OrBk92WXEaIVu25GmKulkGH8L1RG3ctAT7i1fNdh6zXx4Zg4ZxmlR&#10;teEJD6mgLSmcLEpqcL/+54/5CDxGKWlRMSU1KGlK1A+DhExm0zyPCkt/aLjB2CZjfJvPYtzs9T2g&#10;GMf4LixPZkwOajClA/2Kol7GbhhihmPPkm4H8z70+sVHwcVymZJQTJaFtdlYHktHzCKgL90rc/aE&#10;ekC+HmHQFCvegN/nxpveLvcBKUjMRHx7NE+woxATt6dHE5X+53/KujztxW8AAAD//wMAUEsDBBQA&#10;BgAIAAAAIQBpEOuX2QAAAAQBAAAPAAAAZHJzL2Rvd25yZXYueG1sTI9BS8NAEIXvQv/DMkJvdtNA&#10;Q4jZlGJVvBoFPW6y02xodiZmt23892696GXg8R7vfVNuZzeIM06+Z1KwXiUgkFo2PXUK3t+e7nIQ&#10;PmgyemBCBd/oYVstbkpdGL7QK57r0IlYQr7QCmwIYyGlby067Vc8IkXvwJPTIcqpk2bSl1juBpkm&#10;SSad7ikuWD3ig8X2WJ+cgmz/vLPjR/b5dUj9i2/4GGp+VGp5O+/uQQScw18YrvgRHarI1PCJjBeD&#10;gvhI+L1XL09SEI2CTb4GWZXyP3z1AwAA//8DAFBLAQItABQABgAIAAAAIQC2gziS/gAAAOEBAAAT&#10;AAAAAAAAAAAAAAAAAAAAAABbQ29udGVudF9UeXBlc10ueG1sUEsBAi0AFAAGAAgAAAAhADj9If/W&#10;AAAAlAEAAAsAAAAAAAAAAAAAAAAALwEAAF9yZWxzLy5yZWxzUEsBAi0AFAAGAAgAAAAhAKCNf18U&#10;AgAAIgQAAA4AAAAAAAAAAAAAAAAALgIAAGRycy9lMm9Eb2MueG1sUEsBAi0AFAAGAAgAAAAhAGkQ&#10;65fZAAAABAEAAA8AAAAAAAAAAAAAAAAAbgQAAGRycy9kb3ducmV2LnhtbFBLBQYAAAAABAAEAPMA&#10;AAB0BQAAAAA=&#10;" filled="f" stroked="f">
              <v:textbox style="mso-fit-shape-to-text:t" inset="20pt,0,0,15pt">
                <w:txbxContent>
                  <w:p w14:paraId="1B2A228C" w14:textId="3A7C21BD" w:rsidR="002A0A97" w:rsidRPr="002A0A97" w:rsidRDefault="002A0A97" w:rsidP="002A0A97">
                    <w:pPr>
                      <w:spacing w:after="0"/>
                      <w:rPr>
                        <w:rFonts w:ascii="Calibri" w:eastAsia="Calibri" w:hAnsi="Calibri" w:cs="Calibri"/>
                        <w:noProof/>
                        <w:color w:val="000000"/>
                        <w:sz w:val="20"/>
                        <w:szCs w:val="20"/>
                      </w:rPr>
                    </w:pPr>
                    <w:r w:rsidRPr="002A0A97">
                      <w:rPr>
                        <w:rFonts w:ascii="Calibri" w:eastAsia="Calibri" w:hAnsi="Calibri" w:cs="Calibri"/>
                        <w:noProof/>
                        <w:color w:val="000000"/>
                        <w:sz w:val="20"/>
                        <w:szCs w:val="20"/>
                      </w:rPr>
                      <w:t>SPP Internal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C0C67" w14:textId="77777777" w:rsidR="0022410C" w:rsidRDefault="0022410C" w:rsidP="002A0A97">
      <w:pPr>
        <w:spacing w:after="0" w:line="240" w:lineRule="auto"/>
      </w:pPr>
      <w:r>
        <w:separator/>
      </w:r>
    </w:p>
  </w:footnote>
  <w:footnote w:type="continuationSeparator" w:id="0">
    <w:p w14:paraId="29F25E1D" w14:textId="77777777" w:rsidR="0022410C" w:rsidRDefault="0022410C" w:rsidP="002A0A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3560"/>
    <w:multiLevelType w:val="multilevel"/>
    <w:tmpl w:val="C55A83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03686"/>
    <w:multiLevelType w:val="multilevel"/>
    <w:tmpl w:val="01B0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EC5768"/>
    <w:multiLevelType w:val="multilevel"/>
    <w:tmpl w:val="F6C44D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F09C6"/>
    <w:multiLevelType w:val="hybridMultilevel"/>
    <w:tmpl w:val="A49CA890"/>
    <w:lvl w:ilvl="0" w:tplc="00E6AF7A">
      <w:start w:val="1"/>
      <w:numFmt w:val="decimal"/>
      <w:lvlText w:val="%1."/>
      <w:lvlJc w:val="left"/>
      <w:pPr>
        <w:ind w:left="720" w:hanging="360"/>
      </w:pPr>
      <w:rPr>
        <w:rFonts w:ascii="Calibri" w:hAnsi="Calibri" w:hint="default"/>
        <w:sz w:val="22"/>
        <w:szCs w:val="22"/>
      </w:rPr>
    </w:lvl>
    <w:lvl w:ilvl="1" w:tplc="2EDAD358">
      <w:start w:val="1"/>
      <w:numFmt w:val="lowerLetter"/>
      <w:lvlText w:val="%2."/>
      <w:lvlJc w:val="left"/>
      <w:pPr>
        <w:ind w:left="1440" w:hanging="360"/>
      </w:pPr>
      <w:rPr>
        <w:rFonts w:asciiTheme="minorHAnsi" w:hAnsiTheme="minorHAnsi"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51B4E"/>
    <w:multiLevelType w:val="multilevel"/>
    <w:tmpl w:val="5D2C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500E58"/>
    <w:multiLevelType w:val="multilevel"/>
    <w:tmpl w:val="F8C067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AB42DF"/>
    <w:multiLevelType w:val="multilevel"/>
    <w:tmpl w:val="32E84F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C15293"/>
    <w:multiLevelType w:val="multilevel"/>
    <w:tmpl w:val="2F2E6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CF39DC"/>
    <w:multiLevelType w:val="hybridMultilevel"/>
    <w:tmpl w:val="FC7CC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E5222"/>
    <w:multiLevelType w:val="hybridMultilevel"/>
    <w:tmpl w:val="3FCABC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58144C"/>
    <w:multiLevelType w:val="hybridMultilevel"/>
    <w:tmpl w:val="9EE64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46407"/>
    <w:multiLevelType w:val="hybridMultilevel"/>
    <w:tmpl w:val="6504D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9122B1"/>
    <w:multiLevelType w:val="multilevel"/>
    <w:tmpl w:val="4C920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0E09AF"/>
    <w:multiLevelType w:val="multilevel"/>
    <w:tmpl w:val="4358EF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45228A"/>
    <w:multiLevelType w:val="multilevel"/>
    <w:tmpl w:val="99CA75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A34BDD"/>
    <w:multiLevelType w:val="multilevel"/>
    <w:tmpl w:val="496ADD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236943"/>
    <w:multiLevelType w:val="multilevel"/>
    <w:tmpl w:val="0D98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D26FB5"/>
    <w:multiLevelType w:val="hybridMultilevel"/>
    <w:tmpl w:val="76529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B37F35"/>
    <w:multiLevelType w:val="multilevel"/>
    <w:tmpl w:val="E618C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7313F3"/>
    <w:multiLevelType w:val="multilevel"/>
    <w:tmpl w:val="289899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F87A49"/>
    <w:multiLevelType w:val="hybridMultilevel"/>
    <w:tmpl w:val="2A0C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8E7742"/>
    <w:multiLevelType w:val="multilevel"/>
    <w:tmpl w:val="FF2CF6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C751D9"/>
    <w:multiLevelType w:val="multilevel"/>
    <w:tmpl w:val="940E45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2724705">
    <w:abstractNumId w:val="2"/>
  </w:num>
  <w:num w:numId="2" w16cid:durableId="364331626">
    <w:abstractNumId w:val="16"/>
  </w:num>
  <w:num w:numId="3" w16cid:durableId="2019579259">
    <w:abstractNumId w:val="4"/>
  </w:num>
  <w:num w:numId="4" w16cid:durableId="1402092727">
    <w:abstractNumId w:val="0"/>
  </w:num>
  <w:num w:numId="5" w16cid:durableId="496657005">
    <w:abstractNumId w:val="7"/>
  </w:num>
  <w:num w:numId="6" w16cid:durableId="1075400634">
    <w:abstractNumId w:val="1"/>
  </w:num>
  <w:num w:numId="7" w16cid:durableId="271521053">
    <w:abstractNumId w:val="3"/>
  </w:num>
  <w:num w:numId="8" w16cid:durableId="1058745081">
    <w:abstractNumId w:val="21"/>
  </w:num>
  <w:num w:numId="9" w16cid:durableId="1848400238">
    <w:abstractNumId w:val="13"/>
  </w:num>
  <w:num w:numId="10" w16cid:durableId="1219245218">
    <w:abstractNumId w:val="14"/>
  </w:num>
  <w:num w:numId="11" w16cid:durableId="1650089557">
    <w:abstractNumId w:val="6"/>
  </w:num>
  <w:num w:numId="12" w16cid:durableId="1071346343">
    <w:abstractNumId w:val="22"/>
  </w:num>
  <w:num w:numId="13" w16cid:durableId="1101607939">
    <w:abstractNumId w:val="5"/>
  </w:num>
  <w:num w:numId="14" w16cid:durableId="222103801">
    <w:abstractNumId w:val="19"/>
  </w:num>
  <w:num w:numId="15" w16cid:durableId="18094350">
    <w:abstractNumId w:val="15"/>
  </w:num>
  <w:num w:numId="16" w16cid:durableId="1455100229">
    <w:abstractNumId w:val="18"/>
  </w:num>
  <w:num w:numId="17" w16cid:durableId="1132285979">
    <w:abstractNumId w:val="12"/>
  </w:num>
  <w:num w:numId="18" w16cid:durableId="1510171833">
    <w:abstractNumId w:val="17"/>
  </w:num>
  <w:num w:numId="19" w16cid:durableId="205529657">
    <w:abstractNumId w:val="20"/>
  </w:num>
  <w:num w:numId="20" w16cid:durableId="142897018">
    <w:abstractNumId w:val="8"/>
  </w:num>
  <w:num w:numId="21" w16cid:durableId="1451631275">
    <w:abstractNumId w:val="10"/>
  </w:num>
  <w:num w:numId="22" w16cid:durableId="1972439707">
    <w:abstractNumId w:val="9"/>
  </w:num>
  <w:num w:numId="23" w16cid:durableId="8465527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EB5"/>
    <w:rsid w:val="00002F26"/>
    <w:rsid w:val="000342E0"/>
    <w:rsid w:val="000521B4"/>
    <w:rsid w:val="00054279"/>
    <w:rsid w:val="000617D8"/>
    <w:rsid w:val="000A1DB5"/>
    <w:rsid w:val="000A3B19"/>
    <w:rsid w:val="000D2252"/>
    <w:rsid w:val="000D3518"/>
    <w:rsid w:val="000E304A"/>
    <w:rsid w:val="001024E5"/>
    <w:rsid w:val="00110348"/>
    <w:rsid w:val="00136406"/>
    <w:rsid w:val="00146009"/>
    <w:rsid w:val="00176535"/>
    <w:rsid w:val="00191E46"/>
    <w:rsid w:val="001B3085"/>
    <w:rsid w:val="001C110D"/>
    <w:rsid w:val="001D16C1"/>
    <w:rsid w:val="001D775E"/>
    <w:rsid w:val="001F3FE3"/>
    <w:rsid w:val="00205CC5"/>
    <w:rsid w:val="0022410C"/>
    <w:rsid w:val="00245246"/>
    <w:rsid w:val="00262B03"/>
    <w:rsid w:val="00270591"/>
    <w:rsid w:val="00296F5A"/>
    <w:rsid w:val="002A0A97"/>
    <w:rsid w:val="002B7FEB"/>
    <w:rsid w:val="002F26E3"/>
    <w:rsid w:val="0033123B"/>
    <w:rsid w:val="00331713"/>
    <w:rsid w:val="00351DF6"/>
    <w:rsid w:val="0036194C"/>
    <w:rsid w:val="00364C44"/>
    <w:rsid w:val="003759AB"/>
    <w:rsid w:val="00381B1C"/>
    <w:rsid w:val="003C6AC8"/>
    <w:rsid w:val="00420756"/>
    <w:rsid w:val="004248B0"/>
    <w:rsid w:val="004343EE"/>
    <w:rsid w:val="00440EC3"/>
    <w:rsid w:val="0044354E"/>
    <w:rsid w:val="00460AA8"/>
    <w:rsid w:val="004855C0"/>
    <w:rsid w:val="00485E0D"/>
    <w:rsid w:val="00490C60"/>
    <w:rsid w:val="004B6E68"/>
    <w:rsid w:val="00507BB9"/>
    <w:rsid w:val="005176E3"/>
    <w:rsid w:val="00536714"/>
    <w:rsid w:val="0059296B"/>
    <w:rsid w:val="005B7303"/>
    <w:rsid w:val="005C418F"/>
    <w:rsid w:val="005C7191"/>
    <w:rsid w:val="006047C3"/>
    <w:rsid w:val="00646840"/>
    <w:rsid w:val="00652ADA"/>
    <w:rsid w:val="0066084B"/>
    <w:rsid w:val="00680ECA"/>
    <w:rsid w:val="00681664"/>
    <w:rsid w:val="006A0891"/>
    <w:rsid w:val="006A56C8"/>
    <w:rsid w:val="006B62D4"/>
    <w:rsid w:val="006D1FFB"/>
    <w:rsid w:val="006E0311"/>
    <w:rsid w:val="006F40C9"/>
    <w:rsid w:val="00700B74"/>
    <w:rsid w:val="00732C09"/>
    <w:rsid w:val="007A07DA"/>
    <w:rsid w:val="007A204B"/>
    <w:rsid w:val="007B7EDD"/>
    <w:rsid w:val="007C0A72"/>
    <w:rsid w:val="00815E2B"/>
    <w:rsid w:val="00824A6D"/>
    <w:rsid w:val="00830EB5"/>
    <w:rsid w:val="008314B5"/>
    <w:rsid w:val="008331D7"/>
    <w:rsid w:val="008334AF"/>
    <w:rsid w:val="0084206C"/>
    <w:rsid w:val="00890485"/>
    <w:rsid w:val="00891B26"/>
    <w:rsid w:val="00893DFC"/>
    <w:rsid w:val="008A62C8"/>
    <w:rsid w:val="008C371B"/>
    <w:rsid w:val="008F3203"/>
    <w:rsid w:val="00903F60"/>
    <w:rsid w:val="009141AA"/>
    <w:rsid w:val="00916DF4"/>
    <w:rsid w:val="00921245"/>
    <w:rsid w:val="0093221A"/>
    <w:rsid w:val="0095100B"/>
    <w:rsid w:val="00966F9C"/>
    <w:rsid w:val="00967BA1"/>
    <w:rsid w:val="009866E1"/>
    <w:rsid w:val="009921A8"/>
    <w:rsid w:val="009978DF"/>
    <w:rsid w:val="009A3F51"/>
    <w:rsid w:val="009B407B"/>
    <w:rsid w:val="009B725B"/>
    <w:rsid w:val="009C428B"/>
    <w:rsid w:val="009C4A64"/>
    <w:rsid w:val="009C738C"/>
    <w:rsid w:val="009C78B4"/>
    <w:rsid w:val="009D206B"/>
    <w:rsid w:val="009D2E21"/>
    <w:rsid w:val="00A331FA"/>
    <w:rsid w:val="00A40C22"/>
    <w:rsid w:val="00A43BD8"/>
    <w:rsid w:val="00A50B1F"/>
    <w:rsid w:val="00A53C05"/>
    <w:rsid w:val="00A55EA3"/>
    <w:rsid w:val="00A957D2"/>
    <w:rsid w:val="00A96A09"/>
    <w:rsid w:val="00AA585C"/>
    <w:rsid w:val="00AC52E5"/>
    <w:rsid w:val="00AC70C1"/>
    <w:rsid w:val="00AF430D"/>
    <w:rsid w:val="00B10496"/>
    <w:rsid w:val="00B21228"/>
    <w:rsid w:val="00B27C02"/>
    <w:rsid w:val="00B468E1"/>
    <w:rsid w:val="00B5142F"/>
    <w:rsid w:val="00B55887"/>
    <w:rsid w:val="00B623EB"/>
    <w:rsid w:val="00B84540"/>
    <w:rsid w:val="00B9151E"/>
    <w:rsid w:val="00BB646B"/>
    <w:rsid w:val="00BC2F03"/>
    <w:rsid w:val="00BE253C"/>
    <w:rsid w:val="00BF0AD5"/>
    <w:rsid w:val="00BF4182"/>
    <w:rsid w:val="00BF4784"/>
    <w:rsid w:val="00C036AD"/>
    <w:rsid w:val="00C20775"/>
    <w:rsid w:val="00C31806"/>
    <w:rsid w:val="00C43399"/>
    <w:rsid w:val="00C44CE9"/>
    <w:rsid w:val="00C57CD0"/>
    <w:rsid w:val="00C8221B"/>
    <w:rsid w:val="00C84501"/>
    <w:rsid w:val="00C8620D"/>
    <w:rsid w:val="00C92126"/>
    <w:rsid w:val="00CA1D44"/>
    <w:rsid w:val="00CB006A"/>
    <w:rsid w:val="00CC0CEA"/>
    <w:rsid w:val="00CC10B1"/>
    <w:rsid w:val="00CE2D82"/>
    <w:rsid w:val="00D42331"/>
    <w:rsid w:val="00D72E06"/>
    <w:rsid w:val="00D80A2F"/>
    <w:rsid w:val="00D81D54"/>
    <w:rsid w:val="00D840E3"/>
    <w:rsid w:val="00D9616F"/>
    <w:rsid w:val="00DA503F"/>
    <w:rsid w:val="00DC2B1E"/>
    <w:rsid w:val="00DD2381"/>
    <w:rsid w:val="00DD2DB7"/>
    <w:rsid w:val="00DE2B66"/>
    <w:rsid w:val="00DF0A65"/>
    <w:rsid w:val="00DF2373"/>
    <w:rsid w:val="00E07A0D"/>
    <w:rsid w:val="00E134CE"/>
    <w:rsid w:val="00E20BEB"/>
    <w:rsid w:val="00E23940"/>
    <w:rsid w:val="00E4341E"/>
    <w:rsid w:val="00EB067C"/>
    <w:rsid w:val="00EE1576"/>
    <w:rsid w:val="00EE4E5C"/>
    <w:rsid w:val="00F207A7"/>
    <w:rsid w:val="00F20D16"/>
    <w:rsid w:val="00F34540"/>
    <w:rsid w:val="00F90723"/>
    <w:rsid w:val="00F924D5"/>
    <w:rsid w:val="00F94E2A"/>
    <w:rsid w:val="00F953AA"/>
    <w:rsid w:val="00FA655F"/>
    <w:rsid w:val="00FC47CC"/>
    <w:rsid w:val="00FF0A24"/>
    <w:rsid w:val="00FF4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59AE"/>
  <w15:docId w15:val="{82609F89-D39F-4BAF-BAA2-176C45DB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24D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E4E5C"/>
    <w:rPr>
      <w:sz w:val="16"/>
      <w:szCs w:val="16"/>
    </w:rPr>
  </w:style>
  <w:style w:type="paragraph" w:styleId="CommentText">
    <w:name w:val="annotation text"/>
    <w:basedOn w:val="Normal"/>
    <w:link w:val="CommentTextChar"/>
    <w:uiPriority w:val="99"/>
    <w:unhideWhenUsed/>
    <w:rsid w:val="00EE4E5C"/>
    <w:pPr>
      <w:spacing w:line="240" w:lineRule="auto"/>
    </w:pPr>
    <w:rPr>
      <w:sz w:val="20"/>
      <w:szCs w:val="20"/>
    </w:rPr>
  </w:style>
  <w:style w:type="character" w:customStyle="1" w:styleId="CommentTextChar">
    <w:name w:val="Comment Text Char"/>
    <w:basedOn w:val="DefaultParagraphFont"/>
    <w:link w:val="CommentText"/>
    <w:uiPriority w:val="99"/>
    <w:rsid w:val="00EE4E5C"/>
    <w:rPr>
      <w:sz w:val="20"/>
      <w:szCs w:val="20"/>
    </w:rPr>
  </w:style>
  <w:style w:type="paragraph" w:styleId="CommentSubject">
    <w:name w:val="annotation subject"/>
    <w:basedOn w:val="CommentText"/>
    <w:next w:val="CommentText"/>
    <w:link w:val="CommentSubjectChar"/>
    <w:uiPriority w:val="99"/>
    <w:semiHidden/>
    <w:unhideWhenUsed/>
    <w:rsid w:val="00EE4E5C"/>
    <w:rPr>
      <w:b/>
      <w:bCs/>
    </w:rPr>
  </w:style>
  <w:style w:type="character" w:customStyle="1" w:styleId="CommentSubjectChar">
    <w:name w:val="Comment Subject Char"/>
    <w:basedOn w:val="CommentTextChar"/>
    <w:link w:val="CommentSubject"/>
    <w:uiPriority w:val="99"/>
    <w:semiHidden/>
    <w:rsid w:val="00EE4E5C"/>
    <w:rPr>
      <w:b/>
      <w:bCs/>
      <w:sz w:val="20"/>
      <w:szCs w:val="20"/>
    </w:rPr>
  </w:style>
  <w:style w:type="paragraph" w:styleId="BalloonText">
    <w:name w:val="Balloon Text"/>
    <w:basedOn w:val="Normal"/>
    <w:link w:val="BalloonTextChar"/>
    <w:uiPriority w:val="99"/>
    <w:semiHidden/>
    <w:unhideWhenUsed/>
    <w:rsid w:val="00EE4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E5C"/>
    <w:rPr>
      <w:rFonts w:ascii="Segoe UI" w:hAnsi="Segoe UI" w:cs="Segoe UI"/>
      <w:sz w:val="18"/>
      <w:szCs w:val="18"/>
    </w:rPr>
  </w:style>
  <w:style w:type="paragraph" w:styleId="ListParagraph">
    <w:name w:val="List Paragraph"/>
    <w:basedOn w:val="Normal"/>
    <w:uiPriority w:val="34"/>
    <w:qFormat/>
    <w:rsid w:val="00D9616F"/>
    <w:pPr>
      <w:ind w:left="720"/>
      <w:contextualSpacing/>
    </w:pPr>
  </w:style>
  <w:style w:type="character" w:styleId="Hyperlink">
    <w:name w:val="Hyperlink"/>
    <w:basedOn w:val="DefaultParagraphFont"/>
    <w:uiPriority w:val="99"/>
    <w:unhideWhenUsed/>
    <w:rsid w:val="00002F26"/>
    <w:rPr>
      <w:color w:val="0000FF" w:themeColor="hyperlink"/>
      <w:u w:val="single"/>
    </w:rPr>
  </w:style>
  <w:style w:type="character" w:styleId="FollowedHyperlink">
    <w:name w:val="FollowedHyperlink"/>
    <w:basedOn w:val="DefaultParagraphFont"/>
    <w:uiPriority w:val="99"/>
    <w:semiHidden/>
    <w:unhideWhenUsed/>
    <w:rsid w:val="00002F26"/>
    <w:rPr>
      <w:color w:val="800080" w:themeColor="followedHyperlink"/>
      <w:u w:val="single"/>
    </w:rPr>
  </w:style>
  <w:style w:type="paragraph" w:styleId="Revision">
    <w:name w:val="Revision"/>
    <w:hidden/>
    <w:uiPriority w:val="99"/>
    <w:semiHidden/>
    <w:rsid w:val="000A1DB5"/>
    <w:pPr>
      <w:spacing w:after="0" w:line="240" w:lineRule="auto"/>
    </w:pPr>
  </w:style>
  <w:style w:type="paragraph" w:styleId="Footer">
    <w:name w:val="footer"/>
    <w:basedOn w:val="Normal"/>
    <w:link w:val="FooterChar"/>
    <w:uiPriority w:val="99"/>
    <w:unhideWhenUsed/>
    <w:rsid w:val="002A0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A97"/>
  </w:style>
  <w:style w:type="character" w:styleId="UnresolvedMention">
    <w:name w:val="Unresolved Mention"/>
    <w:basedOn w:val="DefaultParagraphFont"/>
    <w:uiPriority w:val="99"/>
    <w:semiHidden/>
    <w:unhideWhenUsed/>
    <w:rsid w:val="00B51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578848">
      <w:bodyDiv w:val="1"/>
      <w:marLeft w:val="0"/>
      <w:marRight w:val="0"/>
      <w:marTop w:val="0"/>
      <w:marBottom w:val="0"/>
      <w:divBdr>
        <w:top w:val="none" w:sz="0" w:space="0" w:color="auto"/>
        <w:left w:val="none" w:sz="0" w:space="0" w:color="auto"/>
        <w:bottom w:val="none" w:sz="0" w:space="0" w:color="auto"/>
        <w:right w:val="none" w:sz="0" w:space="0" w:color="auto"/>
      </w:divBdr>
    </w:div>
    <w:div w:id="587883889">
      <w:bodyDiv w:val="1"/>
      <w:marLeft w:val="0"/>
      <w:marRight w:val="0"/>
      <w:marTop w:val="0"/>
      <w:marBottom w:val="0"/>
      <w:divBdr>
        <w:top w:val="none" w:sz="0" w:space="0" w:color="auto"/>
        <w:left w:val="none" w:sz="0" w:space="0" w:color="auto"/>
        <w:bottom w:val="none" w:sz="0" w:space="0" w:color="auto"/>
        <w:right w:val="none" w:sz="0" w:space="0" w:color="auto"/>
      </w:divBdr>
    </w:div>
    <w:div w:id="1001422736">
      <w:bodyDiv w:val="1"/>
      <w:marLeft w:val="0"/>
      <w:marRight w:val="0"/>
      <w:marTop w:val="0"/>
      <w:marBottom w:val="0"/>
      <w:divBdr>
        <w:top w:val="none" w:sz="0" w:space="0" w:color="auto"/>
        <w:left w:val="none" w:sz="0" w:space="0" w:color="auto"/>
        <w:bottom w:val="none" w:sz="0" w:space="0" w:color="auto"/>
        <w:right w:val="none" w:sz="0" w:space="0" w:color="auto"/>
      </w:divBdr>
    </w:div>
    <w:div w:id="1200702203">
      <w:bodyDiv w:val="1"/>
      <w:marLeft w:val="0"/>
      <w:marRight w:val="0"/>
      <w:marTop w:val="0"/>
      <w:marBottom w:val="0"/>
      <w:divBdr>
        <w:top w:val="none" w:sz="0" w:space="0" w:color="auto"/>
        <w:left w:val="none" w:sz="0" w:space="0" w:color="auto"/>
        <w:bottom w:val="none" w:sz="0" w:space="0" w:color="auto"/>
        <w:right w:val="none" w:sz="0" w:space="0" w:color="auto"/>
      </w:divBdr>
    </w:div>
    <w:div w:id="207882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sportal.spp.org/Studies/Tra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TS@spp.or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sportal.spp.org/Studies/Tra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psportal.spp.org/Studies/Tran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2462c74-252a-40f3-94ee-5a25abdf097a}" enabled="1" method="Standard" siteId="{3230926a-71b7-4370-a137-197badc066a2}" contentBits="2" removed="0"/>
</clbl:labelList>
</file>

<file path=docProps/app.xml><?xml version="1.0" encoding="utf-8"?>
<Properties xmlns="http://schemas.openxmlformats.org/officeDocument/2006/extended-properties" xmlns:vt="http://schemas.openxmlformats.org/officeDocument/2006/docPropsVTypes">
  <Template>Normal.dotm</Template>
  <TotalTime>505</TotalTime>
  <Pages>4</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Ross</dc:creator>
  <cp:lastModifiedBy>Joshua Ross</cp:lastModifiedBy>
  <cp:revision>8</cp:revision>
  <dcterms:created xsi:type="dcterms:W3CDTF">2025-03-25T20:36:00Z</dcterms:created>
  <dcterms:modified xsi:type="dcterms:W3CDTF">2025-04-18T15:35:00Z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2157d96e,7f4422d1,53356b3c</vt:lpwstr>
  </property>
  <property fmtid="{D5CDD505-2E9C-101B-9397-08002B2CF9AE}" pid="3" name="ClassificationContentMarkingFooterFontProps">
    <vt:lpwstr>#000000,10,Calibri</vt:lpwstr>
  </property>
  <property fmtid="{D5CDD505-2E9C-101B-9397-08002B2CF9AE}" pid="4" name="ClassificationContentMarkingFooterText">
    <vt:lpwstr>SPP Internal Only</vt:lpwstr>
  </property>
</Properties>
</file>